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A0" w:rsidRDefault="003A3FA0" w:rsidP="003A3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709666" cy="688728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19" cy="6906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FA0" w:rsidRDefault="003A3FA0" w:rsidP="003A3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02FF1" w:rsidRDefault="00D02FF1" w:rsidP="003A3FA0">
      <w:pPr>
        <w:pStyle w:val="Titolo2"/>
        <w:rPr>
          <w:sz w:val="22"/>
          <w:szCs w:val="22"/>
        </w:rPr>
      </w:pPr>
    </w:p>
    <w:p w:rsidR="003A3FA0" w:rsidRDefault="009E3286" w:rsidP="003A3FA0">
      <w:pPr>
        <w:pStyle w:val="Titolo2"/>
        <w:rPr>
          <w:sz w:val="22"/>
          <w:szCs w:val="22"/>
        </w:rPr>
      </w:pPr>
      <w:r>
        <w:rPr>
          <w:sz w:val="22"/>
          <w:szCs w:val="22"/>
        </w:rPr>
        <w:t>C</w:t>
      </w:r>
      <w:r w:rsidR="003A3FA0" w:rsidRPr="0081738F">
        <w:rPr>
          <w:sz w:val="22"/>
          <w:szCs w:val="22"/>
        </w:rPr>
        <w:t>OMUNICATO STAMPA</w:t>
      </w:r>
    </w:p>
    <w:p w:rsidR="00A75915" w:rsidRPr="00A75915" w:rsidRDefault="00A75915" w:rsidP="00A75915">
      <w:pPr>
        <w:rPr>
          <w:lang w:eastAsia="ar-SA"/>
        </w:rPr>
      </w:pPr>
    </w:p>
    <w:p w:rsidR="00A75915" w:rsidRPr="00CB70C2" w:rsidRDefault="00A75915" w:rsidP="00A75915">
      <w:pPr>
        <w:pStyle w:val="Corpodeltesto2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CB70C2">
        <w:rPr>
          <w:rFonts w:ascii="Times New Roman" w:hAnsi="Times New Roman" w:cs="Times New Roman"/>
          <w:b/>
          <w:color w:val="C00000"/>
        </w:rPr>
        <w:t>SISMA: IL CDA DI INARCASSA VARA I PROVVEDIMENTI</w:t>
      </w:r>
    </w:p>
    <w:p w:rsidR="00A75915" w:rsidRPr="00A75915" w:rsidRDefault="00A75915" w:rsidP="00A75915">
      <w:pPr>
        <w:pStyle w:val="Corpodeltesto2"/>
        <w:spacing w:after="0" w:line="240" w:lineRule="auto"/>
        <w:jc w:val="center"/>
        <w:rPr>
          <w:rFonts w:ascii="Times New Roman" w:hAnsi="Times New Roman" w:cs="Times New Roman"/>
        </w:rPr>
      </w:pPr>
      <w:r w:rsidRPr="00A75915">
        <w:rPr>
          <w:rFonts w:ascii="Times New Roman" w:hAnsi="Times New Roman" w:cs="Times New Roman"/>
        </w:rPr>
        <w:t>Santoro, “assistenza e sostegno personalizzati per ripartire presto”</w:t>
      </w:r>
    </w:p>
    <w:p w:rsidR="00A75915" w:rsidRPr="00A75915" w:rsidRDefault="00A75915" w:rsidP="00A75915">
      <w:pPr>
        <w:pStyle w:val="Corpodeltesto2"/>
        <w:spacing w:after="0" w:line="240" w:lineRule="auto"/>
        <w:jc w:val="both"/>
        <w:rPr>
          <w:rFonts w:ascii="Times New Roman" w:hAnsi="Times New Roman" w:cs="Times New Roman"/>
        </w:rPr>
      </w:pPr>
    </w:p>
    <w:p w:rsidR="00A75915" w:rsidRPr="00A75915" w:rsidRDefault="00A75915" w:rsidP="00A75915">
      <w:pPr>
        <w:pStyle w:val="Corpodeltesto2"/>
        <w:spacing w:after="0" w:line="240" w:lineRule="auto"/>
        <w:jc w:val="both"/>
        <w:rPr>
          <w:rFonts w:ascii="Times New Roman" w:hAnsi="Times New Roman" w:cs="Times New Roman"/>
          <w:iCs/>
          <w:color w:val="231F20"/>
        </w:rPr>
      </w:pPr>
      <w:r w:rsidRPr="00A75915">
        <w:rPr>
          <w:rFonts w:ascii="Times New Roman" w:hAnsi="Times New Roman" w:cs="Times New Roman"/>
          <w:iCs/>
          <w:color w:val="231F20"/>
        </w:rPr>
        <w:t xml:space="preserve">Il Consiglio di Amministrazione di </w:t>
      </w:r>
      <w:proofErr w:type="spellStart"/>
      <w:r w:rsidRPr="00A75915">
        <w:rPr>
          <w:rFonts w:ascii="Times New Roman" w:hAnsi="Times New Roman" w:cs="Times New Roman"/>
          <w:iCs/>
          <w:color w:val="231F20"/>
        </w:rPr>
        <w:t>Inarcassa</w:t>
      </w:r>
      <w:proofErr w:type="spellEnd"/>
      <w:r w:rsidRPr="00A75915">
        <w:rPr>
          <w:rFonts w:ascii="Times New Roman" w:hAnsi="Times New Roman" w:cs="Times New Roman"/>
          <w:iCs/>
          <w:color w:val="231F20"/>
        </w:rPr>
        <w:t xml:space="preserve">, nella riunione del 22 settembre scorso, ha deliberato i provvedimenti in favore dei liberi professionisti residenti in Abruzzo, Lazio, Marche e Umbria colpiti dal sisma del </w:t>
      </w:r>
      <w:r w:rsidRPr="00A75915">
        <w:rPr>
          <w:b/>
          <w:bCs/>
          <w:iCs/>
          <w:color w:val="231F20"/>
        </w:rPr>
        <w:t>24 agosto 2016</w:t>
      </w:r>
      <w:r w:rsidRPr="00A75915">
        <w:rPr>
          <w:rFonts w:ascii="Times New Roman" w:hAnsi="Times New Roman" w:cs="Times New Roman"/>
          <w:iCs/>
          <w:color w:val="231F20"/>
        </w:rPr>
        <w:t>, in coerenza con quanto disposto dalla delibera del Consiglio dei Ministri del 25 agosto 2016 (G.U. n. 199 del 26-08-2016) e con il Decreto MEF del 1 settembre 2016 (G.U. n. 207 del 5-9-2016).</w:t>
      </w:r>
    </w:p>
    <w:p w:rsidR="00A75915" w:rsidRPr="00A75915" w:rsidRDefault="00A75915" w:rsidP="00A75915">
      <w:pPr>
        <w:pStyle w:val="Textbody"/>
        <w:spacing w:after="0"/>
        <w:rPr>
          <w:rFonts w:eastAsiaTheme="minorHAnsi"/>
          <w:iCs/>
          <w:color w:val="231F20"/>
          <w:kern w:val="0"/>
          <w:sz w:val="22"/>
          <w:szCs w:val="22"/>
          <w:lang w:eastAsia="en-US"/>
        </w:rPr>
      </w:pPr>
    </w:p>
    <w:p w:rsidR="00B643AC" w:rsidRDefault="00B643AC" w:rsidP="00B643AC">
      <w:pPr>
        <w:pStyle w:val="Textbody"/>
        <w:spacing w:after="0"/>
        <w:rPr>
          <w:rFonts w:eastAsiaTheme="minorHAnsi"/>
          <w:iCs/>
          <w:color w:val="231F20"/>
          <w:kern w:val="0"/>
          <w:sz w:val="22"/>
          <w:szCs w:val="22"/>
          <w:lang w:eastAsia="en-US"/>
        </w:rPr>
      </w:pPr>
      <w:r>
        <w:rPr>
          <w:rFonts w:eastAsiaTheme="minorHAnsi"/>
          <w:iCs/>
          <w:color w:val="231F20"/>
          <w:kern w:val="0"/>
          <w:sz w:val="22"/>
          <w:szCs w:val="22"/>
          <w:lang w:eastAsia="en-US"/>
        </w:rPr>
        <w:t>E’ stato pertanto stabilito:</w:t>
      </w:r>
    </w:p>
    <w:p w:rsidR="00B643AC" w:rsidRDefault="00B643AC" w:rsidP="008D3604">
      <w:pPr>
        <w:pStyle w:val="Textbody"/>
        <w:numPr>
          <w:ilvl w:val="0"/>
          <w:numId w:val="3"/>
        </w:numPr>
        <w:spacing w:after="0"/>
        <w:rPr>
          <w:rFonts w:eastAsiaTheme="minorHAnsi"/>
          <w:iCs/>
          <w:color w:val="231F20"/>
          <w:kern w:val="0"/>
          <w:sz w:val="22"/>
          <w:szCs w:val="22"/>
          <w:lang w:eastAsia="en-US"/>
        </w:rPr>
      </w:pPr>
      <w:proofErr w:type="gramStart"/>
      <w:r w:rsidRPr="00B643AC">
        <w:rPr>
          <w:rFonts w:eastAsiaTheme="minorHAnsi"/>
          <w:iCs/>
          <w:color w:val="231F20"/>
          <w:kern w:val="0"/>
          <w:sz w:val="22"/>
          <w:szCs w:val="22"/>
          <w:lang w:eastAsia="en-US"/>
        </w:rPr>
        <w:t>di</w:t>
      </w:r>
      <w:proofErr w:type="gramEnd"/>
      <w:r w:rsidRPr="00B643AC">
        <w:rPr>
          <w:rFonts w:eastAsiaTheme="minorHAnsi"/>
          <w:iCs/>
          <w:color w:val="231F20"/>
          <w:kern w:val="0"/>
          <w:sz w:val="22"/>
          <w:szCs w:val="22"/>
          <w:lang w:eastAsia="en-US"/>
        </w:rPr>
        <w:t xml:space="preserve"> sospendere i termini degli adempimenti e versamenti contributivi scadenti nel periodo compreso tra il 24/08/2016 ed il 16/12/2016. Detti adempimenti dovranno essere effettuati entro il 20/12/2016;</w:t>
      </w:r>
    </w:p>
    <w:p w:rsidR="00B643AC" w:rsidRDefault="00B643AC" w:rsidP="00C04EF9">
      <w:pPr>
        <w:pStyle w:val="Textbody"/>
        <w:numPr>
          <w:ilvl w:val="0"/>
          <w:numId w:val="3"/>
        </w:numPr>
        <w:spacing w:after="0"/>
        <w:rPr>
          <w:rFonts w:eastAsiaTheme="minorHAnsi"/>
          <w:iCs/>
          <w:color w:val="231F20"/>
          <w:kern w:val="0"/>
          <w:sz w:val="22"/>
          <w:szCs w:val="22"/>
          <w:lang w:eastAsia="en-US"/>
        </w:rPr>
      </w:pPr>
      <w:proofErr w:type="gramStart"/>
      <w:r w:rsidRPr="00B643AC">
        <w:rPr>
          <w:rFonts w:eastAsiaTheme="minorHAnsi"/>
          <w:iCs/>
          <w:color w:val="231F20"/>
          <w:kern w:val="0"/>
          <w:sz w:val="22"/>
          <w:szCs w:val="22"/>
          <w:lang w:eastAsia="en-US"/>
        </w:rPr>
        <w:t>di</w:t>
      </w:r>
      <w:proofErr w:type="gramEnd"/>
      <w:r w:rsidRPr="00B643AC">
        <w:rPr>
          <w:rFonts w:eastAsiaTheme="minorHAnsi"/>
          <w:iCs/>
          <w:color w:val="231F20"/>
          <w:kern w:val="0"/>
          <w:sz w:val="22"/>
          <w:szCs w:val="22"/>
          <w:lang w:eastAsia="en-US"/>
        </w:rPr>
        <w:t xml:space="preserve"> sospendere eventuali azioni di recupero coattivo fino alla data del 16/12/2016;</w:t>
      </w:r>
    </w:p>
    <w:p w:rsidR="00B643AC" w:rsidRDefault="00B643AC" w:rsidP="00640088">
      <w:pPr>
        <w:pStyle w:val="Textbody"/>
        <w:numPr>
          <w:ilvl w:val="0"/>
          <w:numId w:val="3"/>
        </w:numPr>
        <w:spacing w:after="0"/>
        <w:rPr>
          <w:rFonts w:eastAsiaTheme="minorHAnsi"/>
          <w:iCs/>
          <w:color w:val="231F20"/>
          <w:kern w:val="0"/>
          <w:sz w:val="22"/>
          <w:szCs w:val="22"/>
          <w:lang w:eastAsia="en-US"/>
        </w:rPr>
      </w:pPr>
      <w:proofErr w:type="gramStart"/>
      <w:r w:rsidRPr="00B643AC">
        <w:rPr>
          <w:rFonts w:eastAsiaTheme="minorHAnsi"/>
          <w:iCs/>
          <w:color w:val="231F20"/>
          <w:kern w:val="0"/>
          <w:sz w:val="22"/>
          <w:szCs w:val="22"/>
          <w:lang w:eastAsia="en-US"/>
        </w:rPr>
        <w:t>di</w:t>
      </w:r>
      <w:proofErr w:type="gramEnd"/>
      <w:r w:rsidRPr="00B643AC">
        <w:rPr>
          <w:rFonts w:eastAsiaTheme="minorHAnsi"/>
          <w:iCs/>
          <w:color w:val="231F20"/>
          <w:kern w:val="0"/>
          <w:sz w:val="22"/>
          <w:szCs w:val="22"/>
          <w:lang w:eastAsia="en-US"/>
        </w:rPr>
        <w:t xml:space="preserve"> recepire automaticamente eventuali future disposizioni normative, successive alla dichiarazione dello stato di emergenza, che dovessero intervenire in merito alla sospensione di adempimenti e versamenti contributivi, riguardanti liberi professionisti - persone fisiche e/o giuridiche -  residenti nelle località colpite d</w:t>
      </w:r>
      <w:bookmarkStart w:id="0" w:name="_GoBack"/>
      <w:bookmarkEnd w:id="0"/>
      <w:r w:rsidRPr="00B643AC">
        <w:rPr>
          <w:rFonts w:eastAsiaTheme="minorHAnsi"/>
          <w:iCs/>
          <w:color w:val="231F20"/>
          <w:kern w:val="0"/>
          <w:sz w:val="22"/>
          <w:szCs w:val="22"/>
          <w:lang w:eastAsia="en-US"/>
        </w:rPr>
        <w:t>ei territori delle regioni Abruzzo, Lazio, Marche e Umbria, ovvero con ulteriori estensioni territoriali, identificati da specifico provvedimento;</w:t>
      </w:r>
    </w:p>
    <w:p w:rsidR="00B643AC" w:rsidRPr="00B643AC" w:rsidRDefault="00B643AC" w:rsidP="00640088">
      <w:pPr>
        <w:pStyle w:val="Textbody"/>
        <w:numPr>
          <w:ilvl w:val="0"/>
          <w:numId w:val="3"/>
        </w:numPr>
        <w:spacing w:after="0"/>
        <w:rPr>
          <w:rFonts w:eastAsiaTheme="minorHAnsi"/>
          <w:iCs/>
          <w:color w:val="231F20"/>
          <w:kern w:val="0"/>
          <w:sz w:val="22"/>
          <w:szCs w:val="22"/>
          <w:lang w:eastAsia="en-US"/>
        </w:rPr>
      </w:pPr>
      <w:proofErr w:type="gramStart"/>
      <w:r w:rsidRPr="00B643AC">
        <w:rPr>
          <w:rFonts w:eastAsiaTheme="minorHAnsi"/>
          <w:iCs/>
          <w:color w:val="231F20"/>
          <w:kern w:val="0"/>
          <w:sz w:val="22"/>
          <w:szCs w:val="22"/>
          <w:lang w:eastAsia="en-US"/>
        </w:rPr>
        <w:t>di</w:t>
      </w:r>
      <w:proofErr w:type="gramEnd"/>
      <w:r w:rsidRPr="00B643AC">
        <w:rPr>
          <w:rFonts w:eastAsiaTheme="minorHAnsi"/>
          <w:iCs/>
          <w:color w:val="231F20"/>
          <w:kern w:val="0"/>
          <w:sz w:val="22"/>
          <w:szCs w:val="22"/>
          <w:lang w:eastAsia="en-US"/>
        </w:rPr>
        <w:t xml:space="preserve"> esaminare le segnalazioni dei danni subiti a causa degli eventi sismici ai fini dell'assegnazione di eventuali contributi economici, come previsti da specifico Regolamento dell'Associazione.</w:t>
      </w:r>
    </w:p>
    <w:p w:rsidR="00B643AC" w:rsidRPr="00A75915" w:rsidRDefault="00B643AC" w:rsidP="00B643AC">
      <w:pPr>
        <w:pStyle w:val="Textbody"/>
        <w:spacing w:after="0"/>
        <w:rPr>
          <w:rFonts w:eastAsiaTheme="minorHAnsi"/>
          <w:iCs/>
          <w:color w:val="231F20"/>
          <w:kern w:val="0"/>
          <w:sz w:val="22"/>
          <w:szCs w:val="22"/>
          <w:lang w:eastAsia="en-US"/>
        </w:rPr>
      </w:pPr>
    </w:p>
    <w:p w:rsidR="00A75915" w:rsidRPr="00A75915" w:rsidRDefault="00A75915" w:rsidP="00A75915">
      <w:pPr>
        <w:spacing w:after="0" w:line="240" w:lineRule="auto"/>
        <w:jc w:val="both"/>
        <w:rPr>
          <w:rFonts w:ascii="Times New Roman" w:hAnsi="Times New Roman" w:cs="Times New Roman"/>
          <w:iCs/>
          <w:color w:val="231F20"/>
        </w:rPr>
      </w:pPr>
      <w:r w:rsidRPr="00A75915">
        <w:rPr>
          <w:rFonts w:ascii="Times New Roman" w:hAnsi="Times New Roman" w:cs="Times New Roman"/>
          <w:iCs/>
          <w:color w:val="231F20"/>
        </w:rPr>
        <w:t xml:space="preserve">Sul sito internet della Cassa è a disposizione degli iscritti il </w:t>
      </w:r>
      <w:hyperlink r:id="rId9" w:history="1">
        <w:r w:rsidRPr="00A75915">
          <w:rPr>
            <w:rFonts w:ascii="Times New Roman" w:hAnsi="Times New Roman" w:cs="Times New Roman"/>
            <w:iCs/>
            <w:color w:val="231F20"/>
          </w:rPr>
          <w:t xml:space="preserve">Modulo di segnalazione dei danni subiti </w:t>
        </w:r>
      </w:hyperlink>
      <w:r w:rsidRPr="00A75915">
        <w:rPr>
          <w:rFonts w:ascii="Times New Roman" w:hAnsi="Times New Roman" w:cs="Times New Roman"/>
          <w:iCs/>
          <w:color w:val="231F20"/>
        </w:rPr>
        <w:t xml:space="preserve">che invitiamo a compilare e a restituire ad </w:t>
      </w:r>
      <w:proofErr w:type="spellStart"/>
      <w:r w:rsidRPr="00A75915">
        <w:rPr>
          <w:rFonts w:ascii="Times New Roman" w:hAnsi="Times New Roman" w:cs="Times New Roman"/>
          <w:iCs/>
          <w:color w:val="231F20"/>
        </w:rPr>
        <w:t>Inarcassa</w:t>
      </w:r>
      <w:proofErr w:type="spellEnd"/>
      <w:r w:rsidRPr="00A75915">
        <w:rPr>
          <w:rFonts w:ascii="Times New Roman" w:hAnsi="Times New Roman" w:cs="Times New Roman"/>
          <w:iCs/>
          <w:color w:val="231F20"/>
        </w:rPr>
        <w:t xml:space="preserve">, completo della documentazione richiesta, via </w:t>
      </w:r>
      <w:proofErr w:type="spellStart"/>
      <w:r w:rsidRPr="00A75915">
        <w:rPr>
          <w:rFonts w:ascii="Times New Roman" w:hAnsi="Times New Roman" w:cs="Times New Roman"/>
          <w:iCs/>
          <w:color w:val="231F20"/>
        </w:rPr>
        <w:t>pec</w:t>
      </w:r>
      <w:proofErr w:type="spellEnd"/>
      <w:r w:rsidRPr="00A75915">
        <w:rPr>
          <w:rFonts w:ascii="Times New Roman" w:hAnsi="Times New Roman" w:cs="Times New Roman"/>
          <w:iCs/>
          <w:color w:val="231F20"/>
        </w:rPr>
        <w:t xml:space="preserve"> a protocollo@pec.inarcassa.org, via posta a </w:t>
      </w:r>
      <w:proofErr w:type="spellStart"/>
      <w:r w:rsidRPr="00A75915">
        <w:rPr>
          <w:rFonts w:ascii="Times New Roman" w:hAnsi="Times New Roman" w:cs="Times New Roman"/>
          <w:iCs/>
          <w:color w:val="231F20"/>
        </w:rPr>
        <w:t>Inarcassa</w:t>
      </w:r>
      <w:proofErr w:type="spellEnd"/>
      <w:r w:rsidRPr="00A75915">
        <w:rPr>
          <w:rFonts w:ascii="Times New Roman" w:hAnsi="Times New Roman" w:cs="Times New Roman"/>
          <w:iCs/>
          <w:color w:val="231F20"/>
        </w:rPr>
        <w:t xml:space="preserve">, Via Salaria 229 00199 Roma, via fax al n. 06-85274211, o via e-mail a </w:t>
      </w:r>
      <w:hyperlink r:id="rId10" w:history="1">
        <w:r w:rsidRPr="00A75915">
          <w:rPr>
            <w:rFonts w:ascii="Times New Roman" w:hAnsi="Times New Roman" w:cs="Times New Roman"/>
            <w:iCs/>
            <w:color w:val="231F20"/>
          </w:rPr>
          <w:t>protocollo@inarcassa.it</w:t>
        </w:r>
      </w:hyperlink>
      <w:r w:rsidRPr="00A75915">
        <w:rPr>
          <w:rFonts w:ascii="Times New Roman" w:hAnsi="Times New Roman" w:cs="Times New Roman"/>
          <w:iCs/>
          <w:color w:val="231F20"/>
        </w:rPr>
        <w:t xml:space="preserve"> .</w:t>
      </w:r>
    </w:p>
    <w:p w:rsidR="00A75915" w:rsidRPr="00A75915" w:rsidRDefault="00A75915" w:rsidP="00A75915">
      <w:pPr>
        <w:spacing w:after="0" w:line="240" w:lineRule="auto"/>
        <w:jc w:val="both"/>
        <w:rPr>
          <w:rFonts w:ascii="Times New Roman" w:hAnsi="Times New Roman" w:cs="Times New Roman"/>
          <w:iCs/>
          <w:color w:val="231F20"/>
        </w:rPr>
      </w:pPr>
    </w:p>
    <w:p w:rsidR="00A75915" w:rsidRPr="00A75915" w:rsidRDefault="00CB70C2" w:rsidP="00A75915">
      <w:pPr>
        <w:spacing w:after="0" w:line="240" w:lineRule="auto"/>
        <w:jc w:val="both"/>
        <w:rPr>
          <w:rFonts w:ascii="Times New Roman" w:hAnsi="Times New Roman" w:cs="Times New Roman"/>
          <w:iCs/>
          <w:color w:val="231F20"/>
        </w:rPr>
      </w:pPr>
      <w:r>
        <w:rPr>
          <w:rFonts w:ascii="Times New Roman" w:hAnsi="Times New Roman" w:cs="Times New Roman"/>
          <w:iCs/>
          <w:color w:val="231F20"/>
        </w:rPr>
        <w:t>Al fine di poter accedere alle provvidenze, i professionisti</w:t>
      </w:r>
      <w:r w:rsidR="00A75915" w:rsidRPr="00A75915">
        <w:rPr>
          <w:rFonts w:ascii="Times New Roman" w:hAnsi="Times New Roman" w:cs="Times New Roman"/>
          <w:iCs/>
          <w:color w:val="231F20"/>
        </w:rPr>
        <w:t xml:space="preserve"> devono essere: iscritti ad </w:t>
      </w:r>
      <w:proofErr w:type="spellStart"/>
      <w:r w:rsidR="00A75915" w:rsidRPr="00A75915">
        <w:rPr>
          <w:rFonts w:ascii="Times New Roman" w:hAnsi="Times New Roman" w:cs="Times New Roman"/>
          <w:iCs/>
          <w:color w:val="231F20"/>
        </w:rPr>
        <w:t>Inarcassa</w:t>
      </w:r>
      <w:proofErr w:type="spellEnd"/>
      <w:r w:rsidR="00A75915" w:rsidRPr="00A75915">
        <w:rPr>
          <w:rFonts w:ascii="Times New Roman" w:hAnsi="Times New Roman" w:cs="Times New Roman"/>
          <w:iCs/>
          <w:color w:val="231F20"/>
        </w:rPr>
        <w:t xml:space="preserve"> alla data dell’evento calamitoso; in regola con gli adempimenti contributivi e dichiarativi; residenti o con studio professionale dichiarato nei territori interessati dalle calamità naturali come tali riconosciute da apposite ordinanze governative o provvedimenti equivalenti; proprietari, comproprietari, affittuari di immobili adibiti a studio professionale o ad uso promiscuo (studio professionale e residenza) danneggiati dall’evento calamitoso; titolari di studi professionali ricadenti nelle aree colpite dagli eventi calamitosi che hanno </w:t>
      </w:r>
      <w:r>
        <w:rPr>
          <w:rFonts w:ascii="Times New Roman" w:hAnsi="Times New Roman" w:cs="Times New Roman"/>
          <w:iCs/>
          <w:color w:val="231F20"/>
        </w:rPr>
        <w:t xml:space="preserve">subito </w:t>
      </w:r>
      <w:r w:rsidR="00A75915" w:rsidRPr="00A75915">
        <w:rPr>
          <w:rFonts w:ascii="Times New Roman" w:hAnsi="Times New Roman" w:cs="Times New Roman"/>
          <w:iCs/>
          <w:color w:val="231F20"/>
        </w:rPr>
        <w:t>danni ai beni strumentali.</w:t>
      </w:r>
    </w:p>
    <w:p w:rsidR="00A75915" w:rsidRPr="00A75915" w:rsidRDefault="00A75915" w:rsidP="00A75915">
      <w:pPr>
        <w:spacing w:after="0" w:line="240" w:lineRule="auto"/>
        <w:jc w:val="both"/>
        <w:rPr>
          <w:rFonts w:ascii="Times New Roman" w:hAnsi="Times New Roman" w:cs="Times New Roman"/>
          <w:iCs/>
          <w:color w:val="231F20"/>
        </w:rPr>
      </w:pPr>
      <w:r w:rsidRPr="00A75915">
        <w:rPr>
          <w:rFonts w:ascii="Times New Roman" w:hAnsi="Times New Roman" w:cs="Times New Roman"/>
          <w:iCs/>
          <w:color w:val="231F20"/>
        </w:rPr>
        <w:t> </w:t>
      </w:r>
    </w:p>
    <w:p w:rsidR="00A75915" w:rsidRPr="00A75915" w:rsidRDefault="00A75915" w:rsidP="00A75915">
      <w:pPr>
        <w:spacing w:after="0" w:line="240" w:lineRule="auto"/>
        <w:jc w:val="both"/>
        <w:rPr>
          <w:rFonts w:ascii="Times New Roman" w:hAnsi="Times New Roman" w:cs="Times New Roman"/>
          <w:iCs/>
          <w:color w:val="231F20"/>
        </w:rPr>
      </w:pPr>
      <w:r w:rsidRPr="00A75915">
        <w:rPr>
          <w:rFonts w:ascii="Times New Roman" w:eastAsia="Times New Roman" w:hAnsi="Times New Roman" w:cs="Times New Roman"/>
          <w:lang w:eastAsia="it-IT"/>
        </w:rPr>
        <w:t>“</w:t>
      </w:r>
      <w:proofErr w:type="spellStart"/>
      <w:r w:rsidRPr="00A75915">
        <w:rPr>
          <w:rFonts w:ascii="Times New Roman" w:hAnsi="Times New Roman" w:cs="Times New Roman"/>
          <w:iCs/>
          <w:color w:val="231F20"/>
        </w:rPr>
        <w:t>Inarcassa</w:t>
      </w:r>
      <w:proofErr w:type="spellEnd"/>
      <w:r w:rsidRPr="00A75915">
        <w:rPr>
          <w:rFonts w:ascii="Times New Roman" w:hAnsi="Times New Roman" w:cs="Times New Roman"/>
          <w:iCs/>
          <w:color w:val="231F20"/>
        </w:rPr>
        <w:t xml:space="preserve"> ha deliberato misure tempestive e al tempo stesso personalizzate</w:t>
      </w:r>
      <w:r w:rsidR="00980D50">
        <w:rPr>
          <w:rFonts w:ascii="Times New Roman" w:hAnsi="Times New Roman" w:cs="Times New Roman"/>
          <w:iCs/>
          <w:color w:val="231F20"/>
        </w:rPr>
        <w:t>.”</w:t>
      </w:r>
      <w:r w:rsidRPr="00A75915">
        <w:rPr>
          <w:rFonts w:ascii="Times New Roman" w:hAnsi="Times New Roman" w:cs="Times New Roman"/>
          <w:iCs/>
          <w:color w:val="231F20"/>
        </w:rPr>
        <w:t xml:space="preserve"> dichiara il Presidente Giuseppe Santoro. “</w:t>
      </w:r>
      <w:r>
        <w:rPr>
          <w:rFonts w:ascii="Times New Roman" w:hAnsi="Times New Roman" w:cs="Times New Roman"/>
          <w:iCs/>
          <w:color w:val="231F20"/>
        </w:rPr>
        <w:t xml:space="preserve">Questo </w:t>
      </w:r>
      <w:r w:rsidRPr="00A75915">
        <w:rPr>
          <w:rFonts w:ascii="Times New Roman" w:hAnsi="Times New Roman" w:cs="Times New Roman"/>
          <w:iCs/>
          <w:color w:val="231F20"/>
        </w:rPr>
        <w:t xml:space="preserve">tragico terremoto ripropone il tema cruciale dell’assistenza per un ente che, come </w:t>
      </w:r>
      <w:proofErr w:type="spellStart"/>
      <w:r w:rsidRPr="00A75915">
        <w:rPr>
          <w:rFonts w:ascii="Times New Roman" w:hAnsi="Times New Roman" w:cs="Times New Roman"/>
          <w:iCs/>
          <w:color w:val="231F20"/>
        </w:rPr>
        <w:t>Inarcassa</w:t>
      </w:r>
      <w:proofErr w:type="spellEnd"/>
      <w:r w:rsidRPr="00A75915">
        <w:rPr>
          <w:rFonts w:ascii="Times New Roman" w:hAnsi="Times New Roman" w:cs="Times New Roman"/>
          <w:iCs/>
          <w:color w:val="231F20"/>
        </w:rPr>
        <w:t>, si occupa di garantire la pensione ai propri iscritti ma anche di accompagnarli lungo tutto l’arco della vita attiva. Il nostro sostegno - conclude - dev’essere dunque mirato e permettere a chi ne usufruisce di tornare per quanto possibile alla normalità e al lavoro in tempi brevi.”</w:t>
      </w:r>
    </w:p>
    <w:p w:rsidR="00A75915" w:rsidRPr="00A75915" w:rsidRDefault="00A75915" w:rsidP="00A75915">
      <w:pPr>
        <w:pStyle w:val="Standard"/>
        <w:jc w:val="both"/>
        <w:rPr>
          <w:sz w:val="22"/>
          <w:szCs w:val="22"/>
        </w:rPr>
      </w:pPr>
    </w:p>
    <w:p w:rsidR="00A75915" w:rsidRPr="00A75915" w:rsidRDefault="00A75915" w:rsidP="00A75915">
      <w:pPr>
        <w:pStyle w:val="Standard"/>
        <w:jc w:val="both"/>
        <w:rPr>
          <w:sz w:val="22"/>
          <w:szCs w:val="22"/>
        </w:rPr>
      </w:pPr>
    </w:p>
    <w:p w:rsidR="003A3FA0" w:rsidRDefault="00A75915" w:rsidP="00A759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Roma, </w:t>
      </w:r>
      <w:r w:rsidR="009E3286">
        <w:rPr>
          <w:rFonts w:ascii="Times New Roman" w:hAnsi="Times New Roman" w:cs="Times New Roman"/>
        </w:rPr>
        <w:t xml:space="preserve">26 </w:t>
      </w:r>
      <w:r>
        <w:rPr>
          <w:rFonts w:ascii="Times New Roman" w:hAnsi="Times New Roman" w:cs="Times New Roman"/>
        </w:rPr>
        <w:t>settembre 2016</w:t>
      </w:r>
    </w:p>
    <w:p w:rsidR="00A75915" w:rsidRPr="00A75915" w:rsidRDefault="00A75915" w:rsidP="00A7591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75915" w:rsidRPr="00A75915" w:rsidSect="00A75915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56F" w:rsidRDefault="00D5156F" w:rsidP="004761F8">
      <w:pPr>
        <w:spacing w:after="0" w:line="240" w:lineRule="auto"/>
      </w:pPr>
      <w:r>
        <w:separator/>
      </w:r>
    </w:p>
  </w:endnote>
  <w:endnote w:type="continuationSeparator" w:id="0">
    <w:p w:rsidR="00D5156F" w:rsidRDefault="00D5156F" w:rsidP="0047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F8" w:rsidRDefault="004761F8">
    <w:pPr>
      <w:pStyle w:val="Pidipagina"/>
    </w:pPr>
    <w:proofErr w:type="spellStart"/>
    <w:r w:rsidRPr="004761F8">
      <w:rPr>
        <w:rFonts w:ascii="Calibri" w:eastAsia="Calibri" w:hAnsi="Calibri" w:cs="Times New Roman"/>
      </w:rPr>
      <w:t>Inarcassa</w:t>
    </w:r>
    <w:proofErr w:type="spellEnd"/>
    <w:r w:rsidRPr="004761F8">
      <w:rPr>
        <w:rFonts w:ascii="Calibri" w:eastAsia="Calibri" w:hAnsi="Calibri" w:cs="Times New Roman"/>
      </w:rPr>
      <w:t xml:space="preserve"> - Ufficio Comunicazione e Relazioni Esterne </w:t>
    </w:r>
    <w:r w:rsidRPr="004761F8">
      <w:rPr>
        <w:rFonts w:ascii="Calibri" w:eastAsia="Calibri" w:hAnsi="Calibri" w:cs="Times New Roman"/>
      </w:rPr>
      <w:br/>
      <w:t>Re</w:t>
    </w:r>
    <w:r w:rsidR="008C1D12">
      <w:rPr>
        <w:rFonts w:ascii="Calibri" w:eastAsia="Calibri" w:hAnsi="Calibri" w:cs="Times New Roman"/>
      </w:rPr>
      <w:t xml:space="preserve">sponsabile: Silvia </w:t>
    </w:r>
    <w:proofErr w:type="spellStart"/>
    <w:r w:rsidR="008C1D12">
      <w:rPr>
        <w:rFonts w:ascii="Calibri" w:eastAsia="Calibri" w:hAnsi="Calibri" w:cs="Times New Roman"/>
      </w:rPr>
      <w:t>Pellicciari</w:t>
    </w:r>
    <w:proofErr w:type="spellEnd"/>
    <w:r w:rsidR="008C1D12">
      <w:rPr>
        <w:rFonts w:ascii="Calibri" w:eastAsia="Calibri" w:hAnsi="Calibri" w:cs="Times New Roman"/>
      </w:rPr>
      <w:t xml:space="preserve"> </w:t>
    </w:r>
    <w:r w:rsidRPr="004761F8">
      <w:rPr>
        <w:rFonts w:ascii="Calibri" w:eastAsia="Calibri" w:hAnsi="Calibri" w:cs="Times New Roman"/>
      </w:rPr>
      <w:t>- ufficiostampa@inarcassa.it</w:t>
    </w:r>
    <w:r>
      <w:rPr>
        <w:rFonts w:ascii="Calibri" w:eastAsia="Calibri" w:hAnsi="Calibri" w:cs="Times New Roman"/>
      </w:rP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56F" w:rsidRDefault="00D5156F" w:rsidP="004761F8">
      <w:pPr>
        <w:spacing w:after="0" w:line="240" w:lineRule="auto"/>
      </w:pPr>
      <w:r>
        <w:separator/>
      </w:r>
    </w:p>
  </w:footnote>
  <w:footnote w:type="continuationSeparator" w:id="0">
    <w:p w:rsidR="00D5156F" w:rsidRDefault="00D5156F" w:rsidP="0047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lfaen" w:hAnsi="Sylfaen" w:cs="Sylfae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1B33D2"/>
    <w:multiLevelType w:val="hybridMultilevel"/>
    <w:tmpl w:val="5CF22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585D"/>
    <w:multiLevelType w:val="hybridMultilevel"/>
    <w:tmpl w:val="EB84C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4B"/>
    <w:rsid w:val="00006894"/>
    <w:rsid w:val="001216D7"/>
    <w:rsid w:val="00145576"/>
    <w:rsid w:val="001A7F9C"/>
    <w:rsid w:val="001B76CD"/>
    <w:rsid w:val="0024402C"/>
    <w:rsid w:val="002F4E18"/>
    <w:rsid w:val="0037497A"/>
    <w:rsid w:val="003A3FA0"/>
    <w:rsid w:val="004761F8"/>
    <w:rsid w:val="004E12D9"/>
    <w:rsid w:val="0051655E"/>
    <w:rsid w:val="00684D28"/>
    <w:rsid w:val="006C0D4B"/>
    <w:rsid w:val="006F2FD5"/>
    <w:rsid w:val="00720364"/>
    <w:rsid w:val="007251DC"/>
    <w:rsid w:val="007F1B4D"/>
    <w:rsid w:val="0083145B"/>
    <w:rsid w:val="0087471A"/>
    <w:rsid w:val="008C1D12"/>
    <w:rsid w:val="008F15C7"/>
    <w:rsid w:val="008F74B5"/>
    <w:rsid w:val="00940A8C"/>
    <w:rsid w:val="00947B1B"/>
    <w:rsid w:val="00980D50"/>
    <w:rsid w:val="00995EB8"/>
    <w:rsid w:val="009A6B6D"/>
    <w:rsid w:val="009E3286"/>
    <w:rsid w:val="00A52924"/>
    <w:rsid w:val="00A75915"/>
    <w:rsid w:val="00A86FE1"/>
    <w:rsid w:val="00A871BD"/>
    <w:rsid w:val="00AD3D84"/>
    <w:rsid w:val="00B04466"/>
    <w:rsid w:val="00B46908"/>
    <w:rsid w:val="00B52B0B"/>
    <w:rsid w:val="00B643AC"/>
    <w:rsid w:val="00BA14D5"/>
    <w:rsid w:val="00C7798C"/>
    <w:rsid w:val="00CB70C2"/>
    <w:rsid w:val="00CE3BCB"/>
    <w:rsid w:val="00D02FF1"/>
    <w:rsid w:val="00D5156F"/>
    <w:rsid w:val="00D800D9"/>
    <w:rsid w:val="00DA2CB7"/>
    <w:rsid w:val="00DF110B"/>
    <w:rsid w:val="00DF74A1"/>
    <w:rsid w:val="00E114C7"/>
    <w:rsid w:val="00E71FCB"/>
    <w:rsid w:val="00EE1334"/>
    <w:rsid w:val="00EE606E"/>
    <w:rsid w:val="00F21F52"/>
    <w:rsid w:val="00F9163F"/>
    <w:rsid w:val="00FB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E75A1-DC2C-453D-9CDF-E81B88AE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00D9"/>
  </w:style>
  <w:style w:type="paragraph" w:styleId="Titolo2">
    <w:name w:val="heading 2"/>
    <w:basedOn w:val="Normale"/>
    <w:next w:val="Normale"/>
    <w:link w:val="Titolo2Carattere"/>
    <w:qFormat/>
    <w:rsid w:val="003A3FA0"/>
    <w:pPr>
      <w:keepNext/>
      <w:numPr>
        <w:ilvl w:val="1"/>
        <w:numId w:val="1"/>
      </w:numPr>
      <w:suppressAutoHyphens/>
      <w:spacing w:after="0" w:line="240" w:lineRule="auto"/>
      <w:ind w:left="227" w:right="227" w:firstLine="0"/>
      <w:jc w:val="center"/>
      <w:outlineLvl w:val="1"/>
    </w:pPr>
    <w:rPr>
      <w:rFonts w:ascii="Verdana" w:eastAsia="Times New Roman" w:hAnsi="Verdana" w:cs="Verdana"/>
      <w:b/>
      <w:bCs/>
      <w:color w:val="000000"/>
      <w:sz w:val="32"/>
      <w:szCs w:val="19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A3FA0"/>
    <w:rPr>
      <w:rFonts w:ascii="Verdana" w:eastAsia="Times New Roman" w:hAnsi="Verdana" w:cs="Verdana"/>
      <w:b/>
      <w:bCs/>
      <w:color w:val="000000"/>
      <w:sz w:val="32"/>
      <w:szCs w:val="19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3A3FA0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A3FA0"/>
    <w:rPr>
      <w:rFonts w:ascii="Calibri" w:eastAsia="Calibri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76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1F8"/>
  </w:style>
  <w:style w:type="paragraph" w:styleId="Pidipagina">
    <w:name w:val="footer"/>
    <w:basedOn w:val="Normale"/>
    <w:link w:val="PidipaginaCarattere"/>
    <w:uiPriority w:val="99"/>
    <w:unhideWhenUsed/>
    <w:rsid w:val="00476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1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1BD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759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75915"/>
  </w:style>
  <w:style w:type="paragraph" w:customStyle="1" w:styleId="Standard">
    <w:name w:val="Standard"/>
    <w:rsid w:val="00A759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75915"/>
    <w:pPr>
      <w:spacing w:after="240"/>
      <w:jc w:val="both"/>
    </w:pPr>
    <w:rPr>
      <w:szCs w:val="20"/>
    </w:rPr>
  </w:style>
  <w:style w:type="character" w:styleId="Enfasigrassetto">
    <w:name w:val="Strong"/>
    <w:uiPriority w:val="22"/>
    <w:qFormat/>
    <w:rsid w:val="00A75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inarcass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rcassa.it/site/home/amministrazione-trasparente/interventi-straordinari-e-di-emergenza/documento2195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C6E1-040A-4BBE-8A48-41BD91B9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Pellicciari</dc:creator>
  <cp:lastModifiedBy>Alessandra Tolloy</cp:lastModifiedBy>
  <cp:revision>2</cp:revision>
  <cp:lastPrinted>2016-09-23T12:01:00Z</cp:lastPrinted>
  <dcterms:created xsi:type="dcterms:W3CDTF">2016-09-26T14:40:00Z</dcterms:created>
  <dcterms:modified xsi:type="dcterms:W3CDTF">2016-09-26T14:40:00Z</dcterms:modified>
</cp:coreProperties>
</file>