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5A1" w:rsidRPr="00A01EE6" w:rsidRDefault="00773B87" w:rsidP="008A4514">
      <w:pPr>
        <w:spacing w:after="0" w:line="240" w:lineRule="auto"/>
        <w:jc w:val="center"/>
        <w:rPr>
          <w:rFonts w:ascii="Verdana" w:eastAsia="Times New Roman" w:hAnsi="Verdana" w:cs="Verdana"/>
          <w:b/>
          <w:bCs/>
          <w:color w:val="000000"/>
          <w:lang w:val="it-IT"/>
        </w:rPr>
      </w:pPr>
      <w:r w:rsidRPr="00A01EE6"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-426504</wp:posOffset>
            </wp:positionV>
            <wp:extent cx="1475105" cy="594995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594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A5A85" w:rsidRPr="00A01EE6" w:rsidRDefault="00DA5A85" w:rsidP="005936D7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A93C3E" w:rsidRDefault="00A93C3E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</w:p>
    <w:p w:rsidR="0017238A" w:rsidRPr="00A01EE6" w:rsidRDefault="00DA5A85" w:rsidP="00DA5A85">
      <w:pPr>
        <w:tabs>
          <w:tab w:val="left" w:pos="0"/>
        </w:tabs>
        <w:spacing w:after="0" w:line="240" w:lineRule="auto"/>
        <w:ind w:left="227" w:right="227"/>
        <w:jc w:val="center"/>
        <w:rPr>
          <w:rFonts w:ascii="Verdana" w:eastAsia="Times New Roman" w:hAnsi="Verdana" w:cs="Verdana"/>
          <w:b/>
          <w:bCs/>
          <w:color w:val="000000"/>
          <w:sz w:val="20"/>
          <w:lang w:val="it-IT"/>
        </w:rPr>
      </w:pPr>
      <w:bookmarkStart w:id="0" w:name="_GoBack"/>
      <w:bookmarkEnd w:id="0"/>
      <w:r w:rsidRPr="00A01EE6">
        <w:rPr>
          <w:rFonts w:ascii="Verdana" w:eastAsia="Times New Roman" w:hAnsi="Verdana" w:cs="Verdana"/>
          <w:b/>
          <w:bCs/>
          <w:color w:val="000000"/>
          <w:sz w:val="20"/>
          <w:lang w:val="it-IT"/>
        </w:rPr>
        <w:t>COMUNICATO STAMPA</w:t>
      </w:r>
    </w:p>
    <w:p w:rsidR="00DA5A85" w:rsidRPr="00A01EE6" w:rsidRDefault="00DA5A85" w:rsidP="008A4514">
      <w:pPr>
        <w:tabs>
          <w:tab w:val="left" w:pos="705"/>
        </w:tabs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0"/>
          <w:lang w:val="it-IT"/>
        </w:rPr>
      </w:pPr>
    </w:p>
    <w:p w:rsidR="00310099" w:rsidRPr="00A01EE6" w:rsidRDefault="004951D5" w:rsidP="008A4514">
      <w:pPr>
        <w:tabs>
          <w:tab w:val="left" w:pos="705"/>
        </w:tabs>
        <w:spacing w:after="0" w:line="240" w:lineRule="auto"/>
        <w:jc w:val="center"/>
        <w:rPr>
          <w:rFonts w:ascii="Verdana" w:eastAsia="Times New Roman" w:hAnsi="Verdana" w:cs="Verdana"/>
          <w:b/>
          <w:color w:val="990033"/>
          <w:sz w:val="20"/>
          <w:lang w:val="it-IT"/>
        </w:rPr>
      </w:pPr>
      <w:r w:rsidRPr="00A01EE6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FINANZA: </w:t>
      </w:r>
      <w:r w:rsidR="00EC7B4E" w:rsidRPr="00A01EE6">
        <w:rPr>
          <w:rFonts w:ascii="Verdana" w:eastAsia="Times New Roman" w:hAnsi="Verdana" w:cs="Verdana"/>
          <w:b/>
          <w:color w:val="990033"/>
          <w:sz w:val="20"/>
          <w:lang w:val="it-IT"/>
        </w:rPr>
        <w:t>INARCASSA</w:t>
      </w:r>
      <w:r w:rsidR="00611119" w:rsidRPr="00A01EE6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</w:t>
      </w:r>
      <w:r w:rsidR="00EC7B4E" w:rsidRPr="00A01EE6">
        <w:rPr>
          <w:rFonts w:ascii="Verdana" w:eastAsia="Times New Roman" w:hAnsi="Verdana" w:cs="Verdana"/>
          <w:b/>
          <w:color w:val="990033"/>
          <w:sz w:val="20"/>
          <w:lang w:val="it-IT"/>
        </w:rPr>
        <w:t>ADERISCE AI PRINCIP</w:t>
      </w:r>
      <w:r w:rsidR="00611119" w:rsidRPr="00A01EE6">
        <w:rPr>
          <w:rFonts w:ascii="Verdana" w:eastAsia="Times New Roman" w:hAnsi="Verdana" w:cs="Verdana"/>
          <w:b/>
          <w:color w:val="990033"/>
          <w:sz w:val="20"/>
          <w:lang w:val="it-IT"/>
        </w:rPr>
        <w:t>I DI INVESTIMENTO RESPONSABILE SOSTENUTI DALLE NAZIONI UNITE</w:t>
      </w:r>
      <w:r w:rsidR="00690A12" w:rsidRPr="00A01EE6">
        <w:rPr>
          <w:rFonts w:ascii="Verdana" w:eastAsia="Times New Roman" w:hAnsi="Verdana" w:cs="Verdana"/>
          <w:b/>
          <w:color w:val="990033"/>
          <w:sz w:val="20"/>
          <w:lang w:val="it-IT"/>
        </w:rPr>
        <w:t xml:space="preserve"> (UN-PRI)</w:t>
      </w:r>
    </w:p>
    <w:p w:rsidR="005936D7" w:rsidRPr="00A01EE6" w:rsidRDefault="005936D7" w:rsidP="008A4514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</w:p>
    <w:p w:rsidR="00255C40" w:rsidRPr="00A01EE6" w:rsidRDefault="00255C40" w:rsidP="008A4514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  <w:proofErr w:type="spellStart"/>
      <w:r w:rsidRPr="00A01EE6">
        <w:rPr>
          <w:rFonts w:ascii="Times New Roman" w:hAnsi="Times New Roman" w:cs="Times New Roman"/>
          <w:szCs w:val="24"/>
          <w:lang w:val="it-IT"/>
        </w:rPr>
        <w:t>Inarcassa</w:t>
      </w:r>
      <w:proofErr w:type="spellEnd"/>
      <w:r w:rsidRPr="00A01EE6">
        <w:rPr>
          <w:rFonts w:ascii="Times New Roman" w:hAnsi="Times New Roman" w:cs="Times New Roman"/>
          <w:szCs w:val="24"/>
          <w:lang w:val="it-IT"/>
        </w:rPr>
        <w:t xml:space="preserve"> è il primo ente italiano di previdenza ad adottare i principi </w:t>
      </w:r>
      <w:r w:rsidR="003814F8" w:rsidRPr="00A01EE6">
        <w:rPr>
          <w:rFonts w:ascii="Times New Roman" w:hAnsi="Times New Roman" w:cs="Times New Roman"/>
          <w:szCs w:val="24"/>
          <w:lang w:val="it-IT"/>
        </w:rPr>
        <w:t>di investimento responsabile (</w:t>
      </w:r>
      <w:r w:rsidRPr="00A01EE6">
        <w:rPr>
          <w:rFonts w:ascii="Times New Roman" w:hAnsi="Times New Roman" w:cs="Times New Roman"/>
          <w:szCs w:val="24"/>
          <w:lang w:val="it-IT"/>
        </w:rPr>
        <w:t>PRI</w:t>
      </w:r>
      <w:r w:rsidR="003814F8" w:rsidRPr="00A01EE6">
        <w:rPr>
          <w:rFonts w:ascii="Times New Roman" w:hAnsi="Times New Roman" w:cs="Times New Roman"/>
          <w:szCs w:val="24"/>
          <w:lang w:val="it-IT"/>
        </w:rPr>
        <w:t>)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 nei processi decisionali di investimento e a comparire, dal 1° agosto 2017, nella lista dei firmatari. </w:t>
      </w:r>
    </w:p>
    <w:p w:rsidR="00255C40" w:rsidRPr="00A01EE6" w:rsidRDefault="00255C40" w:rsidP="008A4514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</w:p>
    <w:p w:rsidR="003A4D02" w:rsidRPr="00A01EE6" w:rsidRDefault="00322F55" w:rsidP="008A4514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  <w:r w:rsidRPr="00A01EE6">
        <w:rPr>
          <w:rFonts w:ascii="Times New Roman" w:hAnsi="Times New Roman" w:cs="Times New Roman"/>
          <w:szCs w:val="24"/>
          <w:lang w:val="it-IT"/>
        </w:rPr>
        <w:t xml:space="preserve">PRI è </w:t>
      </w:r>
      <w:r w:rsidR="003814F8" w:rsidRPr="00A01EE6">
        <w:rPr>
          <w:rFonts w:ascii="Times New Roman" w:hAnsi="Times New Roman" w:cs="Times New Roman"/>
          <w:szCs w:val="24"/>
          <w:lang w:val="it-IT"/>
        </w:rPr>
        <w:t>il network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 </w:t>
      </w:r>
      <w:r w:rsidR="00F710D7" w:rsidRPr="00A01EE6">
        <w:rPr>
          <w:rFonts w:ascii="Times New Roman" w:hAnsi="Times New Roman" w:cs="Times New Roman"/>
          <w:szCs w:val="24"/>
          <w:lang w:val="it-IT"/>
        </w:rPr>
        <w:t xml:space="preserve">internazionale, </w:t>
      </w:r>
      <w:r w:rsidR="00D72B19">
        <w:rPr>
          <w:rFonts w:ascii="Times New Roman" w:hAnsi="Times New Roman" w:cs="Times New Roman"/>
          <w:szCs w:val="24"/>
          <w:lang w:val="it-IT"/>
        </w:rPr>
        <w:t>sostenuto</w:t>
      </w:r>
      <w:r w:rsidR="00DC35DC">
        <w:rPr>
          <w:rFonts w:ascii="Times New Roman" w:hAnsi="Times New Roman" w:cs="Times New Roman"/>
          <w:szCs w:val="24"/>
          <w:lang w:val="it-IT"/>
        </w:rPr>
        <w:t xml:space="preserve"> </w:t>
      </w:r>
      <w:r w:rsidR="00F710D7" w:rsidRPr="00A01EE6">
        <w:rPr>
          <w:rFonts w:ascii="Times New Roman" w:hAnsi="Times New Roman" w:cs="Times New Roman"/>
          <w:szCs w:val="24"/>
          <w:lang w:val="it-IT"/>
        </w:rPr>
        <w:t xml:space="preserve">dalle Nazioni Unite, </w:t>
      </w:r>
      <w:r w:rsidR="003814F8" w:rsidRPr="00A01EE6">
        <w:rPr>
          <w:rFonts w:ascii="Times New Roman" w:hAnsi="Times New Roman" w:cs="Times New Roman"/>
          <w:szCs w:val="24"/>
          <w:lang w:val="it-IT"/>
        </w:rPr>
        <w:t>di investitori e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 gestori che nel loro processo d’investimento e </w:t>
      </w:r>
      <w:r w:rsidR="00795D24" w:rsidRPr="00A01EE6">
        <w:rPr>
          <w:rFonts w:ascii="Times New Roman" w:hAnsi="Times New Roman" w:cs="Times New Roman"/>
          <w:szCs w:val="24"/>
          <w:lang w:val="it-IT"/>
        </w:rPr>
        <w:t xml:space="preserve">nel 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processo aziendale incorporano criteri ambientali, sociali e di </w:t>
      </w:r>
      <w:proofErr w:type="spellStart"/>
      <w:r w:rsidRPr="00A01EE6">
        <w:rPr>
          <w:rFonts w:ascii="Times New Roman" w:hAnsi="Times New Roman" w:cs="Times New Roman"/>
          <w:szCs w:val="24"/>
          <w:lang w:val="it-IT"/>
        </w:rPr>
        <w:t>governance</w:t>
      </w:r>
      <w:proofErr w:type="spellEnd"/>
      <w:r w:rsidR="00CA4B1D" w:rsidRPr="00A01EE6">
        <w:rPr>
          <w:rFonts w:ascii="Times New Roman" w:hAnsi="Times New Roman" w:cs="Times New Roman"/>
          <w:szCs w:val="24"/>
          <w:lang w:val="it-IT"/>
        </w:rPr>
        <w:t xml:space="preserve"> </w:t>
      </w:r>
      <w:r w:rsidR="003A4D02" w:rsidRPr="00A01EE6">
        <w:rPr>
          <w:rFonts w:ascii="Times New Roman" w:hAnsi="Times New Roman" w:cs="Times New Roman"/>
          <w:szCs w:val="24"/>
          <w:lang w:val="it-IT"/>
        </w:rPr>
        <w:t>(</w:t>
      </w:r>
      <w:r w:rsidR="006D547A">
        <w:rPr>
          <w:rFonts w:ascii="Times New Roman" w:hAnsi="Times New Roman" w:cs="Times New Roman"/>
          <w:szCs w:val="24"/>
          <w:lang w:val="it-IT"/>
        </w:rPr>
        <w:t>E</w:t>
      </w:r>
      <w:r w:rsidR="003A4D02" w:rsidRPr="00A01EE6">
        <w:rPr>
          <w:rFonts w:ascii="Times New Roman" w:hAnsi="Times New Roman" w:cs="Times New Roman"/>
          <w:szCs w:val="24"/>
          <w:lang w:val="it-IT"/>
        </w:rPr>
        <w:t>SG) e li assiste nel comprenderne le implicazioni finanziarie e nell’integrare tali tematiche nei processi decisionali di investimento.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 </w:t>
      </w:r>
    </w:p>
    <w:p w:rsidR="003A4D02" w:rsidRPr="00A01EE6" w:rsidRDefault="003A4D02" w:rsidP="008A4514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</w:p>
    <w:p w:rsidR="00322F55" w:rsidRPr="00A01EE6" w:rsidRDefault="004951D5" w:rsidP="008A4514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  <w:r w:rsidRPr="00A01EE6">
        <w:rPr>
          <w:rFonts w:ascii="Times New Roman" w:hAnsi="Times New Roman" w:cs="Times New Roman"/>
          <w:szCs w:val="24"/>
          <w:lang w:val="it-IT"/>
        </w:rPr>
        <w:t>S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ono </w:t>
      </w:r>
      <w:r w:rsidR="003814F8" w:rsidRPr="00A01EE6">
        <w:rPr>
          <w:rFonts w:ascii="Times New Roman" w:hAnsi="Times New Roman" w:cs="Times New Roman"/>
          <w:szCs w:val="24"/>
          <w:lang w:val="it-IT"/>
        </w:rPr>
        <w:t>oltre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 1.</w:t>
      </w:r>
      <w:r w:rsidR="00765A76">
        <w:rPr>
          <w:rFonts w:ascii="Times New Roman" w:hAnsi="Times New Roman" w:cs="Times New Roman"/>
          <w:szCs w:val="24"/>
          <w:lang w:val="it-IT"/>
        </w:rPr>
        <w:t>8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00 i firmatari in tutto il mondo 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- </w:t>
      </w:r>
      <w:r w:rsidR="00322F55" w:rsidRPr="00A01EE6">
        <w:rPr>
          <w:rFonts w:ascii="Times New Roman" w:hAnsi="Times New Roman" w:cs="Times New Roman"/>
          <w:szCs w:val="24"/>
          <w:lang w:val="it-IT"/>
        </w:rPr>
        <w:t>il 59% in Europa/Medioriente/Africa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 -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, fra </w:t>
      </w:r>
      <w:r w:rsidR="003814F8" w:rsidRPr="00A01EE6">
        <w:rPr>
          <w:rFonts w:ascii="Times New Roman" w:hAnsi="Times New Roman" w:cs="Times New Roman"/>
          <w:szCs w:val="24"/>
          <w:lang w:val="it-IT"/>
        </w:rPr>
        <w:t>i quali,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 ad oggi</w:t>
      </w:r>
      <w:r w:rsidR="003814F8" w:rsidRPr="00A01EE6">
        <w:rPr>
          <w:rFonts w:ascii="Times New Roman" w:hAnsi="Times New Roman" w:cs="Times New Roman"/>
          <w:szCs w:val="24"/>
          <w:lang w:val="it-IT"/>
        </w:rPr>
        <w:t>,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 solo </w:t>
      </w:r>
      <w:r w:rsidR="00765A76">
        <w:rPr>
          <w:rFonts w:ascii="Times New Roman" w:hAnsi="Times New Roman" w:cs="Times New Roman"/>
          <w:szCs w:val="24"/>
          <w:lang w:val="it-IT"/>
        </w:rPr>
        <w:t>22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 gestori italiani, </w:t>
      </w:r>
      <w:r w:rsidR="00205B5E" w:rsidRPr="00D72B19">
        <w:rPr>
          <w:rFonts w:ascii="Times New Roman" w:hAnsi="Times New Roman" w:cs="Times New Roman"/>
          <w:szCs w:val="24"/>
          <w:lang w:val="it-IT"/>
        </w:rPr>
        <w:t>inclusa</w:t>
      </w:r>
      <w:r w:rsidR="008553B2" w:rsidRPr="00D72B19">
        <w:rPr>
          <w:rFonts w:ascii="Times New Roman" w:hAnsi="Times New Roman" w:cs="Times New Roman"/>
          <w:szCs w:val="24"/>
          <w:lang w:val="it-IT"/>
        </w:rPr>
        <w:t xml:space="preserve"> </w:t>
      </w:r>
      <w:r w:rsidR="00322F55" w:rsidRPr="00D72B19">
        <w:rPr>
          <w:rFonts w:ascii="Times New Roman" w:hAnsi="Times New Roman" w:cs="Times New Roman"/>
          <w:szCs w:val="24"/>
          <w:lang w:val="it-IT"/>
        </w:rPr>
        <w:t xml:space="preserve">ora </w:t>
      </w:r>
      <w:r w:rsidR="008553B2" w:rsidRPr="00D72B19">
        <w:rPr>
          <w:rFonts w:ascii="Times New Roman" w:hAnsi="Times New Roman" w:cs="Times New Roman"/>
          <w:szCs w:val="24"/>
          <w:lang w:val="it-IT"/>
        </w:rPr>
        <w:t>anche</w:t>
      </w:r>
      <w:r w:rsidR="008553B2">
        <w:rPr>
          <w:rFonts w:ascii="Times New Roman" w:hAnsi="Times New Roman" w:cs="Times New Roman"/>
          <w:szCs w:val="24"/>
          <w:lang w:val="it-IT"/>
        </w:rPr>
        <w:t xml:space="preserve"> </w:t>
      </w:r>
      <w:r w:rsidR="00255C40" w:rsidRPr="00A01EE6">
        <w:rPr>
          <w:rFonts w:ascii="Times New Roman" w:hAnsi="Times New Roman" w:cs="Times New Roman"/>
          <w:szCs w:val="24"/>
          <w:lang w:val="it-IT"/>
        </w:rPr>
        <w:t>la Cassa nazionale di previdenza ed assistenza per gli ingegneri ed architetti liberi professionisti.</w:t>
      </w:r>
    </w:p>
    <w:p w:rsidR="00EC7B4E" w:rsidRPr="00A01EE6" w:rsidRDefault="00EC7B4E" w:rsidP="008A4514">
      <w:pPr>
        <w:tabs>
          <w:tab w:val="left" w:pos="705"/>
        </w:tabs>
        <w:spacing w:after="0" w:line="240" w:lineRule="auto"/>
        <w:jc w:val="both"/>
        <w:rPr>
          <w:rFonts w:ascii="Times New Roman" w:hAnsi="Times New Roman" w:cs="Times New Roman"/>
          <w:szCs w:val="24"/>
          <w:lang w:val="it-IT"/>
        </w:rPr>
      </w:pPr>
    </w:p>
    <w:p w:rsidR="008A4514" w:rsidRPr="00A01EE6" w:rsidRDefault="0082292C" w:rsidP="008A4514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  <w:r w:rsidRPr="00A01EE6">
        <w:rPr>
          <w:rFonts w:ascii="Times New Roman" w:hAnsi="Times New Roman" w:cs="Times New Roman"/>
          <w:szCs w:val="24"/>
          <w:lang w:val="it-IT"/>
        </w:rPr>
        <w:t>Fino a poco tempo fa, l</w:t>
      </w:r>
      <w:r w:rsidR="007044AC" w:rsidRPr="00A01EE6">
        <w:rPr>
          <w:rFonts w:ascii="Times New Roman" w:hAnsi="Times New Roman" w:cs="Times New Roman"/>
          <w:szCs w:val="24"/>
          <w:lang w:val="it-IT"/>
        </w:rPr>
        <w:t>’</w:t>
      </w:r>
      <w:r w:rsidRPr="00A01EE6">
        <w:rPr>
          <w:rFonts w:ascii="Times New Roman" w:hAnsi="Times New Roman" w:cs="Times New Roman"/>
          <w:szCs w:val="24"/>
          <w:lang w:val="it-IT"/>
        </w:rPr>
        <w:t>impatto della sostenibilit</w:t>
      </w:r>
      <w:r w:rsidR="007044AC" w:rsidRPr="00A01EE6">
        <w:rPr>
          <w:rFonts w:ascii="Times New Roman" w:hAnsi="Times New Roman" w:cs="Times New Roman"/>
          <w:szCs w:val="24"/>
          <w:lang w:val="it-IT"/>
        </w:rPr>
        <w:t>à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 sugli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 </w:t>
      </w:r>
      <w:r w:rsidRPr="00A01EE6">
        <w:rPr>
          <w:rFonts w:ascii="Times New Roman" w:hAnsi="Times New Roman" w:cs="Times New Roman"/>
          <w:szCs w:val="24"/>
          <w:lang w:val="it-IT"/>
        </w:rPr>
        <w:t>investitori e i mercati finanziari era scarsamente compreso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 </w:t>
      </w:r>
      <w:r w:rsidRPr="00A01EE6">
        <w:rPr>
          <w:rFonts w:ascii="Times New Roman" w:hAnsi="Times New Roman" w:cs="Times New Roman"/>
          <w:szCs w:val="24"/>
          <w:lang w:val="it-IT"/>
        </w:rPr>
        <w:t>e in gran parte trascurato. I Principi per l</w:t>
      </w:r>
      <w:r w:rsidR="007044AC" w:rsidRPr="00A01EE6">
        <w:rPr>
          <w:rFonts w:ascii="Times New Roman" w:hAnsi="Times New Roman" w:cs="Times New Roman"/>
          <w:szCs w:val="24"/>
          <w:lang w:val="it-IT"/>
        </w:rPr>
        <w:t>’</w:t>
      </w:r>
      <w:r w:rsidRPr="00A01EE6">
        <w:rPr>
          <w:rFonts w:ascii="Times New Roman" w:hAnsi="Times New Roman" w:cs="Times New Roman"/>
          <w:szCs w:val="24"/>
          <w:lang w:val="it-IT"/>
        </w:rPr>
        <w:t>Investimento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 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Responsabile, </w:t>
      </w:r>
      <w:r w:rsidR="00350B0F" w:rsidRPr="00A01EE6">
        <w:rPr>
          <w:rFonts w:ascii="Times New Roman" w:hAnsi="Times New Roman" w:cs="Times New Roman"/>
          <w:szCs w:val="24"/>
          <w:lang w:val="it-IT"/>
        </w:rPr>
        <w:t xml:space="preserve">nati </w:t>
      </w:r>
      <w:r w:rsidR="008041A4" w:rsidRPr="00A01EE6">
        <w:rPr>
          <w:rFonts w:ascii="Times New Roman" w:hAnsi="Times New Roman" w:cs="Times New Roman"/>
          <w:szCs w:val="24"/>
          <w:lang w:val="it-IT"/>
        </w:rPr>
        <w:t>nel 2006</w:t>
      </w:r>
      <w:r w:rsidR="00620FE3" w:rsidRPr="00A01EE6">
        <w:rPr>
          <w:rFonts w:ascii="Times New Roman" w:eastAsia="Times New Roman" w:hAnsi="Times New Roman" w:cs="Times New Roman"/>
          <w:szCs w:val="24"/>
          <w:lang w:val="it-IT" w:eastAsia="it-IT"/>
        </w:rPr>
        <w:t xml:space="preserve">, </w:t>
      </w:r>
      <w:r w:rsidRPr="00A01EE6">
        <w:rPr>
          <w:rFonts w:ascii="Times New Roman" w:hAnsi="Times New Roman" w:cs="Times New Roman"/>
          <w:szCs w:val="24"/>
          <w:lang w:val="it-IT"/>
        </w:rPr>
        <w:t>hanno</w:t>
      </w:r>
      <w:r w:rsidR="00322F55" w:rsidRPr="00A01EE6">
        <w:rPr>
          <w:rFonts w:ascii="Times New Roman" w:hAnsi="Times New Roman" w:cs="Times New Roman"/>
          <w:szCs w:val="24"/>
          <w:lang w:val="it-IT"/>
        </w:rPr>
        <w:t xml:space="preserve"> </w:t>
      </w:r>
      <w:r w:rsidR="00AB6EB1" w:rsidRPr="00A01EE6">
        <w:rPr>
          <w:rFonts w:ascii="Times New Roman" w:hAnsi="Times New Roman" w:cs="Times New Roman"/>
          <w:szCs w:val="24"/>
          <w:lang w:val="it-IT"/>
        </w:rPr>
        <w:t>concorso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 a </w:t>
      </w:r>
      <w:r w:rsidR="00AB6EB1" w:rsidRPr="00A01EE6">
        <w:rPr>
          <w:rFonts w:ascii="Times New Roman" w:hAnsi="Times New Roman" w:cs="Times New Roman"/>
          <w:szCs w:val="24"/>
          <w:lang w:val="it-IT"/>
        </w:rPr>
        <w:t xml:space="preserve">colmare 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questa </w:t>
      </w:r>
      <w:r w:rsidR="00690A12" w:rsidRPr="00A01EE6">
        <w:rPr>
          <w:rFonts w:ascii="Times New Roman" w:hAnsi="Times New Roman" w:cs="Times New Roman"/>
          <w:szCs w:val="24"/>
          <w:lang w:val="it-IT"/>
        </w:rPr>
        <w:t>lacuna</w:t>
      </w:r>
      <w:r w:rsidR="00AB6EB1" w:rsidRPr="00A01EE6">
        <w:rPr>
          <w:rFonts w:ascii="Times New Roman" w:hAnsi="Times New Roman" w:cs="Times New Roman"/>
          <w:szCs w:val="24"/>
          <w:lang w:val="it-IT"/>
        </w:rPr>
        <w:t>.</w:t>
      </w:r>
      <w:r w:rsidR="00620FE3" w:rsidRPr="00A01EE6">
        <w:rPr>
          <w:rFonts w:ascii="Times New Roman" w:hAnsi="Times New Roman" w:cs="Times New Roman"/>
          <w:szCs w:val="24"/>
          <w:lang w:val="it-IT"/>
        </w:rPr>
        <w:t xml:space="preserve"> </w:t>
      </w:r>
      <w:r w:rsidR="00AB6EB1" w:rsidRPr="00A01EE6">
        <w:rPr>
          <w:rFonts w:ascii="Times New Roman" w:hAnsi="Times New Roman" w:cs="Times New Roman"/>
          <w:szCs w:val="24"/>
          <w:lang w:val="it-IT"/>
        </w:rPr>
        <w:t>S</w:t>
      </w:r>
      <w:r w:rsidR="00620FE3" w:rsidRPr="00A01EE6">
        <w:rPr>
          <w:rFonts w:ascii="Times New Roman" w:hAnsi="Times New Roman" w:cs="Times New Roman"/>
          <w:szCs w:val="24"/>
          <w:lang w:val="it-IT"/>
        </w:rPr>
        <w:t xml:space="preserve">tudi </w:t>
      </w:r>
      <w:r w:rsidR="00AB6EB1" w:rsidRPr="00A01EE6">
        <w:rPr>
          <w:rFonts w:ascii="Times New Roman" w:hAnsi="Times New Roman" w:cs="Times New Roman"/>
          <w:szCs w:val="24"/>
          <w:lang w:val="it-IT"/>
        </w:rPr>
        <w:t>promossi</w:t>
      </w:r>
      <w:r w:rsidR="00620FE3" w:rsidRPr="00A01EE6">
        <w:rPr>
          <w:rFonts w:ascii="Times New Roman" w:hAnsi="Times New Roman" w:cs="Times New Roman"/>
          <w:szCs w:val="24"/>
          <w:lang w:val="it-IT"/>
        </w:rPr>
        <w:t xml:space="preserve"> </w:t>
      </w:r>
      <w:r w:rsidR="00AB6EB1" w:rsidRPr="00A01EE6">
        <w:rPr>
          <w:rFonts w:ascii="Times New Roman" w:hAnsi="Times New Roman" w:cs="Times New Roman"/>
          <w:szCs w:val="24"/>
          <w:lang w:val="it-IT"/>
        </w:rPr>
        <w:t>da</w:t>
      </w:r>
      <w:r w:rsidR="00620FE3" w:rsidRPr="00A01EE6">
        <w:rPr>
          <w:rFonts w:ascii="Times New Roman" w:hAnsi="Times New Roman" w:cs="Times New Roman"/>
          <w:szCs w:val="24"/>
          <w:lang w:val="it-IT"/>
        </w:rPr>
        <w:t xml:space="preserve"> Harvard e Yale dimostrano</w:t>
      </w:r>
      <w:r w:rsidR="00AB6EB1" w:rsidRPr="00A01EE6">
        <w:rPr>
          <w:rFonts w:ascii="Times New Roman" w:hAnsi="Times New Roman" w:cs="Times New Roman"/>
          <w:szCs w:val="24"/>
          <w:lang w:val="it-IT"/>
        </w:rPr>
        <w:t xml:space="preserve"> infatti </w:t>
      </w:r>
      <w:r w:rsidR="00620FE3" w:rsidRPr="00A01EE6">
        <w:rPr>
          <w:rFonts w:ascii="Times New Roman" w:hAnsi="Times New Roman" w:cs="Times New Roman"/>
          <w:szCs w:val="24"/>
          <w:lang w:val="it-IT"/>
        </w:rPr>
        <w:t xml:space="preserve">come le aziende a elevata sostenibilità </w:t>
      </w:r>
      <w:r w:rsidR="00910032" w:rsidRPr="00A01EE6">
        <w:rPr>
          <w:rFonts w:ascii="Times New Roman" w:hAnsi="Times New Roman" w:cs="Times New Roman"/>
          <w:szCs w:val="24"/>
          <w:lang w:val="it-IT"/>
        </w:rPr>
        <w:t>realizzino prestazioni</w:t>
      </w:r>
      <w:r w:rsidR="00620FE3" w:rsidRPr="00A01EE6">
        <w:rPr>
          <w:rFonts w:ascii="Times New Roman" w:hAnsi="Times New Roman" w:cs="Times New Roman"/>
          <w:szCs w:val="24"/>
          <w:lang w:val="it-IT"/>
        </w:rPr>
        <w:t xml:space="preserve"> maggiori rispetto alle loro controparti nel lungo termine, conseguendo risultati contabili e valori azionari migliori</w:t>
      </w:r>
      <w:r w:rsidR="00910032" w:rsidRPr="00A01EE6">
        <w:rPr>
          <w:rFonts w:ascii="Times New Roman" w:hAnsi="Times New Roman" w:cs="Times New Roman"/>
          <w:szCs w:val="24"/>
          <w:lang w:val="it-IT"/>
        </w:rPr>
        <w:t xml:space="preserve">, così come </w:t>
      </w:r>
      <w:r w:rsidR="00620FE3" w:rsidRPr="00A01EE6">
        <w:rPr>
          <w:rFonts w:ascii="Times New Roman" w:hAnsi="Times New Roman" w:cs="Times New Roman"/>
          <w:szCs w:val="24"/>
          <w:lang w:val="it-IT"/>
        </w:rPr>
        <w:t xml:space="preserve">aziende con una </w:t>
      </w:r>
      <w:proofErr w:type="spellStart"/>
      <w:r w:rsidR="00620FE3" w:rsidRPr="00A01EE6">
        <w:rPr>
          <w:rFonts w:ascii="Times New Roman" w:hAnsi="Times New Roman" w:cs="Times New Roman"/>
          <w:szCs w:val="24"/>
          <w:lang w:val="it-IT"/>
        </w:rPr>
        <w:t>governance</w:t>
      </w:r>
      <w:proofErr w:type="spellEnd"/>
      <w:r w:rsidR="00620FE3" w:rsidRPr="00A01EE6">
        <w:rPr>
          <w:rFonts w:ascii="Times New Roman" w:hAnsi="Times New Roman" w:cs="Times New Roman"/>
          <w:szCs w:val="24"/>
          <w:lang w:val="it-IT"/>
        </w:rPr>
        <w:t xml:space="preserve"> </w:t>
      </w:r>
      <w:proofErr w:type="gramStart"/>
      <w:r w:rsidR="00620FE3" w:rsidRPr="00A01EE6">
        <w:rPr>
          <w:rFonts w:ascii="Times New Roman" w:hAnsi="Times New Roman" w:cs="Times New Roman"/>
          <w:szCs w:val="24"/>
          <w:lang w:val="it-IT"/>
        </w:rPr>
        <w:t>aziendale</w:t>
      </w:r>
      <w:proofErr w:type="gramEnd"/>
      <w:r w:rsidR="00620FE3" w:rsidRPr="00A01EE6">
        <w:rPr>
          <w:rFonts w:ascii="Times New Roman" w:hAnsi="Times New Roman" w:cs="Times New Roman"/>
          <w:szCs w:val="24"/>
          <w:lang w:val="it-IT"/>
        </w:rPr>
        <w:t xml:space="preserve"> forte conseguono ritorni finanziari superiori.</w:t>
      </w:r>
    </w:p>
    <w:p w:rsidR="008A4514" w:rsidRPr="00A01EE6" w:rsidRDefault="008A4514" w:rsidP="008A4514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</w:p>
    <w:p w:rsidR="00E7439C" w:rsidRPr="00A01EE6" w:rsidRDefault="003520F8" w:rsidP="00E7439C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  <w:r w:rsidRPr="00A01EE6">
        <w:rPr>
          <w:rFonts w:ascii="Times New Roman" w:hAnsi="Times New Roman" w:cs="Times New Roman"/>
          <w:szCs w:val="24"/>
          <w:lang w:val="it-IT"/>
        </w:rPr>
        <w:t>L’adesione a</w:t>
      </w:r>
      <w:r w:rsidR="008C69ED" w:rsidRPr="00A01EE6">
        <w:rPr>
          <w:rFonts w:ascii="Times New Roman" w:hAnsi="Times New Roman" w:cs="Times New Roman"/>
          <w:szCs w:val="24"/>
          <w:lang w:val="it-IT"/>
        </w:rPr>
        <w:t>i</w:t>
      </w:r>
      <w:r w:rsidRPr="00A01EE6">
        <w:rPr>
          <w:rFonts w:ascii="Times New Roman" w:hAnsi="Times New Roman" w:cs="Times New Roman"/>
          <w:szCs w:val="24"/>
          <w:lang w:val="it-IT"/>
        </w:rPr>
        <w:t xml:space="preserve"> PRI</w:t>
      </w:r>
      <w:r w:rsidR="00E7439C" w:rsidRPr="00A01EE6">
        <w:rPr>
          <w:rFonts w:ascii="Times New Roman" w:hAnsi="Times New Roman" w:cs="Times New Roman"/>
          <w:szCs w:val="24"/>
          <w:lang w:val="it-IT"/>
        </w:rPr>
        <w:t xml:space="preserve"> implica un approccio attivo di </w:t>
      </w:r>
      <w:proofErr w:type="spellStart"/>
      <w:r w:rsidR="00E7439C" w:rsidRPr="00A01EE6">
        <w:rPr>
          <w:rFonts w:ascii="Times New Roman" w:hAnsi="Times New Roman" w:cs="Times New Roman"/>
          <w:szCs w:val="24"/>
          <w:lang w:val="it-IT"/>
        </w:rPr>
        <w:t>Inarcassa</w:t>
      </w:r>
      <w:proofErr w:type="spellEnd"/>
      <w:r w:rsidR="00E7439C" w:rsidRPr="00A01EE6">
        <w:rPr>
          <w:rFonts w:ascii="Times New Roman" w:hAnsi="Times New Roman" w:cs="Times New Roman"/>
          <w:szCs w:val="24"/>
          <w:lang w:val="it-IT"/>
        </w:rPr>
        <w:t xml:space="preserve"> volto a</w:t>
      </w:r>
      <w:r w:rsidR="008C69ED" w:rsidRPr="00A01EE6">
        <w:rPr>
          <w:rFonts w:ascii="Times New Roman" w:hAnsi="Times New Roman" w:cs="Times New Roman"/>
          <w:szCs w:val="24"/>
          <w:lang w:val="it-IT"/>
        </w:rPr>
        <w:t>d</w:t>
      </w:r>
      <w:r w:rsidR="00E7439C" w:rsidRPr="00A01EE6">
        <w:rPr>
          <w:rFonts w:ascii="Times New Roman" w:hAnsi="Times New Roman" w:cs="Times New Roman"/>
          <w:szCs w:val="24"/>
          <w:lang w:val="it-IT"/>
        </w:rPr>
        <w:t xml:space="preserve"> implementar</w:t>
      </w:r>
      <w:r w:rsidR="008C69ED" w:rsidRPr="00A01EE6">
        <w:rPr>
          <w:rFonts w:ascii="Times New Roman" w:hAnsi="Times New Roman" w:cs="Times New Roman"/>
          <w:szCs w:val="24"/>
          <w:lang w:val="it-IT"/>
        </w:rPr>
        <w:t>n</w:t>
      </w:r>
      <w:r w:rsidR="00E7439C" w:rsidRPr="00A01EE6">
        <w:rPr>
          <w:rFonts w:ascii="Times New Roman" w:hAnsi="Times New Roman" w:cs="Times New Roman"/>
          <w:szCs w:val="24"/>
          <w:lang w:val="it-IT"/>
        </w:rPr>
        <w:t>e le linee guida in tutte le classi di investimento; unire le forze con altri investitori per favorire il dialogo con le aziende; superare ostacoli regolamentari e promuovere legislazioni favorevoli agli investimenti responsabili e coinvolgere ed aggiornare il personale sulle tematiche ESG e sui processi di investimento responsabili.</w:t>
      </w:r>
    </w:p>
    <w:p w:rsidR="00E7439C" w:rsidRPr="00A01EE6" w:rsidRDefault="00E7439C" w:rsidP="00E7439C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</w:p>
    <w:p w:rsidR="00BD3A26" w:rsidRPr="00A01EE6" w:rsidRDefault="00BD3A26" w:rsidP="00E7439C">
      <w:pPr>
        <w:spacing w:after="0" w:line="240" w:lineRule="exact"/>
        <w:jc w:val="both"/>
        <w:rPr>
          <w:rFonts w:ascii="Times New Roman" w:hAnsi="Times New Roman" w:cs="Times New Roman"/>
          <w:bCs/>
          <w:szCs w:val="24"/>
          <w:lang w:val="it-IT"/>
        </w:rPr>
      </w:pPr>
      <w:r w:rsidRPr="00A01EE6">
        <w:rPr>
          <w:rFonts w:ascii="Times New Roman" w:hAnsi="Times New Roman" w:cs="Times New Roman"/>
          <w:szCs w:val="24"/>
          <w:lang w:val="it-IT"/>
        </w:rPr>
        <w:t>“</w:t>
      </w:r>
      <w:proofErr w:type="spellStart"/>
      <w:r w:rsidRPr="00A01EE6">
        <w:rPr>
          <w:rFonts w:ascii="Times New Roman" w:hAnsi="Times New Roman" w:cs="Times New Roman"/>
          <w:bCs/>
          <w:szCs w:val="24"/>
          <w:lang w:val="it-IT"/>
        </w:rPr>
        <w:t>Inarcassa</w:t>
      </w:r>
      <w:proofErr w:type="spellEnd"/>
      <w:r w:rsidRPr="00A01EE6">
        <w:rPr>
          <w:rFonts w:ascii="Times New Roman" w:hAnsi="Times New Roman" w:cs="Times New Roman"/>
          <w:bCs/>
          <w:szCs w:val="24"/>
          <w:lang w:val="it-IT"/>
        </w:rPr>
        <w:t>, consapevole della valen</w:t>
      </w:r>
      <w:r w:rsidR="00194042">
        <w:rPr>
          <w:rFonts w:ascii="Times New Roman" w:hAnsi="Times New Roman" w:cs="Times New Roman"/>
          <w:bCs/>
          <w:szCs w:val="24"/>
          <w:lang w:val="it-IT"/>
        </w:rPr>
        <w:t xml:space="preserve">za sociale del proprio ruolo, - </w:t>
      </w:r>
      <w:r w:rsidRPr="00A01EE6">
        <w:rPr>
          <w:rFonts w:ascii="Times New Roman" w:hAnsi="Times New Roman" w:cs="Times New Roman"/>
          <w:bCs/>
          <w:szCs w:val="24"/>
          <w:lang w:val="it-IT"/>
        </w:rPr>
        <w:t>dichiara il P</w:t>
      </w:r>
      <w:r w:rsidR="00194042">
        <w:rPr>
          <w:rFonts w:ascii="Times New Roman" w:hAnsi="Times New Roman" w:cs="Times New Roman"/>
          <w:bCs/>
          <w:szCs w:val="24"/>
          <w:lang w:val="it-IT"/>
        </w:rPr>
        <w:t>residente Giuseppe Santoro -</w:t>
      </w:r>
      <w:r w:rsidRPr="00A01EE6">
        <w:rPr>
          <w:rFonts w:ascii="Times New Roman" w:hAnsi="Times New Roman" w:cs="Times New Roman"/>
          <w:bCs/>
          <w:szCs w:val="24"/>
          <w:lang w:val="it-IT"/>
        </w:rPr>
        <w:t xml:space="preserve"> ha sempre dedicato massima attenzione a scelte d’investimento orientate alla minimizzazione del rischio, perseguendo nel contempo modelli che permettessero di ottenere una redditività tale da contribuire a garantire la sua </w:t>
      </w:r>
      <w:proofErr w:type="spellStart"/>
      <w:r w:rsidRPr="00A01EE6">
        <w:rPr>
          <w:rFonts w:ascii="Times New Roman" w:hAnsi="Times New Roman" w:cs="Times New Roman"/>
          <w:bCs/>
          <w:i/>
          <w:szCs w:val="24"/>
          <w:lang w:val="it-IT"/>
        </w:rPr>
        <w:t>mission</w:t>
      </w:r>
      <w:proofErr w:type="spellEnd"/>
      <w:r w:rsidRPr="00A01EE6">
        <w:rPr>
          <w:rFonts w:ascii="Times New Roman" w:hAnsi="Times New Roman" w:cs="Times New Roman"/>
          <w:bCs/>
          <w:szCs w:val="24"/>
          <w:lang w:val="it-IT"/>
        </w:rPr>
        <w:t>. Siamo orgogliosi di essere la prima Cassa di previdenza in Italia – sottolinea - ad aderire a principi fondanti per la circolazione di una cultura della responsabilità ancora troppo carente nel nostro Paese, ma necessaria a generare opportunità innovative per uno sviluppo sostenibile del bene comune.”</w:t>
      </w:r>
    </w:p>
    <w:p w:rsidR="00A01EE6" w:rsidRPr="00A01EE6" w:rsidRDefault="00A01EE6" w:rsidP="00E7439C">
      <w:pPr>
        <w:spacing w:after="0" w:line="240" w:lineRule="exact"/>
        <w:jc w:val="both"/>
        <w:rPr>
          <w:rFonts w:ascii="Times New Roman" w:hAnsi="Times New Roman" w:cs="Times New Roman"/>
          <w:bCs/>
          <w:szCs w:val="24"/>
          <w:lang w:val="it-IT"/>
        </w:rPr>
      </w:pPr>
    </w:p>
    <w:p w:rsidR="00A01EE6" w:rsidRPr="005C6AC6" w:rsidRDefault="00A01EE6" w:rsidP="005C6AC6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  <w:r w:rsidRPr="005C6AC6">
        <w:rPr>
          <w:rFonts w:ascii="Times New Roman" w:hAnsi="Times New Roman" w:cs="Times New Roman"/>
          <w:szCs w:val="24"/>
          <w:lang w:val="it-IT"/>
        </w:rPr>
        <w:t xml:space="preserve">“Siamo </w:t>
      </w:r>
      <w:r w:rsidR="001570AF">
        <w:rPr>
          <w:rFonts w:ascii="Times New Roman" w:hAnsi="Times New Roman" w:cs="Times New Roman"/>
          <w:szCs w:val="24"/>
          <w:lang w:val="it-IT"/>
        </w:rPr>
        <w:t>estremamente</w:t>
      </w:r>
      <w:r w:rsidRPr="005C6AC6">
        <w:rPr>
          <w:rFonts w:ascii="Times New Roman" w:hAnsi="Times New Roman" w:cs="Times New Roman"/>
          <w:szCs w:val="24"/>
          <w:lang w:val="it-IT"/>
        </w:rPr>
        <w:t xml:space="preserve"> lieti di dare a </w:t>
      </w:r>
      <w:proofErr w:type="spellStart"/>
      <w:r w:rsidRPr="005C6AC6">
        <w:rPr>
          <w:rFonts w:ascii="Times New Roman" w:hAnsi="Times New Roman" w:cs="Times New Roman"/>
          <w:szCs w:val="24"/>
          <w:lang w:val="it-IT"/>
        </w:rPr>
        <w:t>Inarcassa</w:t>
      </w:r>
      <w:proofErr w:type="spellEnd"/>
      <w:r w:rsidRPr="005C6AC6">
        <w:rPr>
          <w:rFonts w:ascii="Times New Roman" w:hAnsi="Times New Roman" w:cs="Times New Roman"/>
          <w:szCs w:val="24"/>
          <w:lang w:val="it-IT"/>
        </w:rPr>
        <w:t xml:space="preserve"> il benvenuto nel PRI”, </w:t>
      </w:r>
      <w:r w:rsidR="00D72B19">
        <w:rPr>
          <w:rFonts w:ascii="Times New Roman" w:hAnsi="Times New Roman" w:cs="Times New Roman"/>
          <w:szCs w:val="24"/>
          <w:lang w:val="it-IT"/>
        </w:rPr>
        <w:t>ha detto</w:t>
      </w:r>
      <w:r w:rsidRPr="005C6AC6">
        <w:rPr>
          <w:rFonts w:ascii="Times New Roman" w:hAnsi="Times New Roman" w:cs="Times New Roman"/>
          <w:szCs w:val="24"/>
          <w:lang w:val="it-IT"/>
        </w:rPr>
        <w:t xml:space="preserve"> </w:t>
      </w:r>
      <w:r w:rsidR="001570AF">
        <w:rPr>
          <w:rFonts w:ascii="Times New Roman" w:hAnsi="Times New Roman" w:cs="Times New Roman"/>
          <w:szCs w:val="24"/>
          <w:lang w:val="it-IT"/>
        </w:rPr>
        <w:t>il direttore generale</w:t>
      </w:r>
      <w:r w:rsidR="00551B41" w:rsidRPr="005C6AC6">
        <w:rPr>
          <w:rFonts w:ascii="Times New Roman" w:hAnsi="Times New Roman" w:cs="Times New Roman"/>
          <w:szCs w:val="24"/>
          <w:lang w:val="it-IT"/>
        </w:rPr>
        <w:t xml:space="preserve"> del network</w:t>
      </w:r>
      <w:r w:rsidR="00D72B19">
        <w:rPr>
          <w:rFonts w:ascii="Times New Roman" w:hAnsi="Times New Roman" w:cs="Times New Roman"/>
          <w:szCs w:val="24"/>
          <w:lang w:val="it-IT"/>
        </w:rPr>
        <w:t>,</w:t>
      </w:r>
      <w:r w:rsidRPr="005C6AC6">
        <w:rPr>
          <w:rFonts w:ascii="Times New Roman" w:hAnsi="Times New Roman" w:cs="Times New Roman"/>
          <w:szCs w:val="24"/>
          <w:lang w:val="it-IT"/>
        </w:rPr>
        <w:t xml:space="preserve"> Fiona Reynolds. “Gli enti di previdenza di primo pilastro hanno un ruolo </w:t>
      </w:r>
      <w:r w:rsidR="00B51505" w:rsidRPr="005C6AC6">
        <w:rPr>
          <w:rFonts w:ascii="Times New Roman" w:hAnsi="Times New Roman" w:cs="Times New Roman"/>
          <w:szCs w:val="24"/>
          <w:lang w:val="it-IT"/>
        </w:rPr>
        <w:t>rilevante</w:t>
      </w:r>
      <w:r w:rsidRPr="005C6AC6">
        <w:rPr>
          <w:rFonts w:ascii="Times New Roman" w:hAnsi="Times New Roman" w:cs="Times New Roman"/>
          <w:szCs w:val="24"/>
          <w:lang w:val="it-IT"/>
        </w:rPr>
        <w:t xml:space="preserve"> nel </w:t>
      </w:r>
      <w:r w:rsidR="00551B41" w:rsidRPr="005C6AC6">
        <w:rPr>
          <w:rFonts w:ascii="Times New Roman" w:hAnsi="Times New Roman" w:cs="Times New Roman"/>
          <w:szCs w:val="24"/>
          <w:lang w:val="it-IT"/>
        </w:rPr>
        <w:t>promuovere l</w:t>
      </w:r>
      <w:r w:rsidRPr="005C6AC6">
        <w:rPr>
          <w:rFonts w:ascii="Times New Roman" w:hAnsi="Times New Roman" w:cs="Times New Roman"/>
          <w:szCs w:val="24"/>
          <w:lang w:val="it-IT"/>
        </w:rPr>
        <w:t>’investimento</w:t>
      </w:r>
      <w:r w:rsidR="00551B41" w:rsidRPr="005C6AC6">
        <w:rPr>
          <w:rFonts w:ascii="Times New Roman" w:hAnsi="Times New Roman" w:cs="Times New Roman"/>
          <w:szCs w:val="24"/>
          <w:lang w:val="it-IT"/>
        </w:rPr>
        <w:t xml:space="preserve"> responsabile</w:t>
      </w:r>
      <w:r w:rsidR="00EF463D" w:rsidRPr="005C6AC6">
        <w:rPr>
          <w:rFonts w:ascii="Times New Roman" w:hAnsi="Times New Roman" w:cs="Times New Roman"/>
          <w:szCs w:val="24"/>
          <w:lang w:val="it-IT"/>
        </w:rPr>
        <w:t xml:space="preserve">. Con l’adesione al PRI, </w:t>
      </w:r>
      <w:proofErr w:type="spellStart"/>
      <w:r w:rsidR="00EF463D" w:rsidRPr="005C6AC6">
        <w:rPr>
          <w:rFonts w:ascii="Times New Roman" w:hAnsi="Times New Roman" w:cs="Times New Roman"/>
          <w:szCs w:val="24"/>
          <w:lang w:val="it-IT"/>
        </w:rPr>
        <w:t>Inarcassa</w:t>
      </w:r>
      <w:proofErr w:type="spellEnd"/>
      <w:r w:rsidR="00EF463D" w:rsidRPr="005C6AC6">
        <w:rPr>
          <w:rFonts w:ascii="Times New Roman" w:hAnsi="Times New Roman" w:cs="Times New Roman"/>
          <w:szCs w:val="24"/>
          <w:lang w:val="it-IT"/>
        </w:rPr>
        <w:t xml:space="preserve"> </w:t>
      </w:r>
      <w:r w:rsidR="000557FF">
        <w:rPr>
          <w:rFonts w:ascii="Times New Roman" w:hAnsi="Times New Roman" w:cs="Times New Roman"/>
          <w:szCs w:val="24"/>
          <w:lang w:val="it-IT"/>
        </w:rPr>
        <w:t>manda</w:t>
      </w:r>
      <w:r w:rsidR="00EF463D" w:rsidRPr="005C6AC6">
        <w:rPr>
          <w:rFonts w:ascii="Times New Roman" w:hAnsi="Times New Roman" w:cs="Times New Roman"/>
          <w:szCs w:val="24"/>
          <w:lang w:val="it-IT"/>
        </w:rPr>
        <w:t xml:space="preserve"> un messaggio forte </w:t>
      </w:r>
      <w:r w:rsidR="000557FF">
        <w:rPr>
          <w:rFonts w:ascii="Times New Roman" w:hAnsi="Times New Roman" w:cs="Times New Roman"/>
          <w:szCs w:val="24"/>
          <w:lang w:val="it-IT"/>
        </w:rPr>
        <w:t>agli altri enti previdenziali</w:t>
      </w:r>
      <w:r w:rsidR="00EF463D" w:rsidRPr="005C6AC6">
        <w:rPr>
          <w:rFonts w:ascii="Times New Roman" w:hAnsi="Times New Roman" w:cs="Times New Roman"/>
          <w:szCs w:val="24"/>
          <w:lang w:val="it-IT"/>
        </w:rPr>
        <w:t xml:space="preserve"> sull’importanza di investire a lungo termine.”</w:t>
      </w:r>
    </w:p>
    <w:p w:rsidR="00EF463D" w:rsidRPr="005C6AC6" w:rsidRDefault="00EF463D" w:rsidP="005C6AC6">
      <w:pPr>
        <w:spacing w:after="0" w:line="240" w:lineRule="exact"/>
        <w:jc w:val="both"/>
        <w:rPr>
          <w:rFonts w:ascii="Times New Roman" w:hAnsi="Times New Roman" w:cs="Times New Roman"/>
          <w:szCs w:val="24"/>
          <w:lang w:val="it-IT"/>
        </w:rPr>
      </w:pPr>
    </w:p>
    <w:p w:rsidR="004E4DF4" w:rsidRPr="00A01EE6" w:rsidRDefault="008C69ED" w:rsidP="008A4514">
      <w:pPr>
        <w:spacing w:after="0" w:line="240" w:lineRule="exact"/>
        <w:jc w:val="both"/>
        <w:rPr>
          <w:rFonts w:ascii="Times New Roman" w:hAnsi="Times New Roman" w:cs="Times New Roman"/>
          <w:bCs/>
          <w:szCs w:val="24"/>
          <w:lang w:val="it-IT"/>
        </w:rPr>
      </w:pPr>
      <w:r w:rsidRPr="00A01EE6">
        <w:rPr>
          <w:rFonts w:ascii="Times New Roman" w:hAnsi="Times New Roman" w:cs="Times New Roman"/>
          <w:bCs/>
          <w:szCs w:val="24"/>
          <w:lang w:val="it-IT"/>
        </w:rPr>
        <w:t xml:space="preserve">Roma, </w:t>
      </w:r>
      <w:r w:rsidR="001A18CF">
        <w:rPr>
          <w:rFonts w:ascii="Times New Roman" w:hAnsi="Times New Roman" w:cs="Times New Roman"/>
          <w:bCs/>
          <w:szCs w:val="24"/>
          <w:lang w:val="it-IT"/>
        </w:rPr>
        <w:t>13</w:t>
      </w:r>
      <w:r w:rsidR="0003551A" w:rsidRPr="00A01EE6">
        <w:rPr>
          <w:rFonts w:ascii="Times New Roman" w:hAnsi="Times New Roman" w:cs="Times New Roman"/>
          <w:bCs/>
          <w:szCs w:val="24"/>
          <w:lang w:val="it-IT"/>
        </w:rPr>
        <w:t xml:space="preserve"> settembre 2017</w:t>
      </w:r>
    </w:p>
    <w:p w:rsidR="00F3382E" w:rsidRDefault="00F3382E" w:rsidP="008A4514">
      <w:pPr>
        <w:spacing w:after="0" w:line="240" w:lineRule="exact"/>
        <w:jc w:val="both"/>
        <w:rPr>
          <w:rFonts w:ascii="Arial" w:hAnsi="Arial" w:cs="Arial"/>
          <w:b/>
          <w:sz w:val="17"/>
          <w:szCs w:val="17"/>
          <w:lang w:val="it-IT"/>
        </w:rPr>
      </w:pPr>
    </w:p>
    <w:p w:rsidR="004E4DF4" w:rsidRPr="00A01EE6" w:rsidRDefault="00A416A7" w:rsidP="008A4514">
      <w:pPr>
        <w:spacing w:after="0" w:line="240" w:lineRule="exact"/>
        <w:jc w:val="both"/>
        <w:rPr>
          <w:rFonts w:ascii="Arial" w:hAnsi="Arial" w:cs="Arial"/>
          <w:b/>
          <w:sz w:val="17"/>
          <w:szCs w:val="17"/>
          <w:lang w:val="it-IT"/>
        </w:rPr>
      </w:pPr>
      <w:r w:rsidRPr="00A01EE6">
        <w:rPr>
          <w:rFonts w:ascii="Arial" w:hAnsi="Arial" w:cs="Arial"/>
          <w:b/>
          <w:sz w:val="17"/>
          <w:szCs w:val="17"/>
          <w:lang w:val="it-IT"/>
        </w:rPr>
        <w:t>INARCASSA</w:t>
      </w:r>
    </w:p>
    <w:p w:rsidR="005936D7" w:rsidRPr="00A01EE6" w:rsidRDefault="005936D7" w:rsidP="008A4514">
      <w:pPr>
        <w:spacing w:after="0" w:line="240" w:lineRule="exact"/>
        <w:jc w:val="both"/>
        <w:rPr>
          <w:rFonts w:ascii="Arial" w:hAnsi="Arial" w:cs="Arial"/>
          <w:sz w:val="17"/>
          <w:szCs w:val="17"/>
          <w:lang w:val="it-IT"/>
        </w:rPr>
      </w:pPr>
      <w:r w:rsidRPr="00A01EE6">
        <w:rPr>
          <w:rFonts w:ascii="Arial" w:hAnsi="Arial" w:cs="Arial"/>
          <w:sz w:val="17"/>
          <w:szCs w:val="17"/>
          <w:lang w:val="it-IT"/>
        </w:rPr>
        <w:t xml:space="preserve">Gli iscritti sono 168.000, i pensionati 28.000. Il patrimonio </w:t>
      </w:r>
      <w:r w:rsidR="005B50DD" w:rsidRPr="00A01EE6">
        <w:rPr>
          <w:rFonts w:ascii="Arial" w:hAnsi="Arial" w:cs="Arial"/>
          <w:sz w:val="17"/>
          <w:szCs w:val="17"/>
          <w:lang w:val="it-IT"/>
        </w:rPr>
        <w:t xml:space="preserve">a valori correnti di mercato </w:t>
      </w:r>
      <w:r w:rsidRPr="00A01EE6">
        <w:rPr>
          <w:rFonts w:ascii="Arial" w:hAnsi="Arial" w:cs="Arial"/>
          <w:sz w:val="17"/>
          <w:szCs w:val="17"/>
          <w:lang w:val="it-IT"/>
        </w:rPr>
        <w:t>ammonta a 9</w:t>
      </w:r>
      <w:r w:rsidR="005B50DD" w:rsidRPr="00A01EE6">
        <w:rPr>
          <w:rFonts w:ascii="Arial" w:hAnsi="Arial" w:cs="Arial"/>
          <w:sz w:val="17"/>
          <w:szCs w:val="17"/>
          <w:lang w:val="it-IT"/>
        </w:rPr>
        <w:t>,8</w:t>
      </w:r>
      <w:r w:rsidRPr="00A01EE6">
        <w:rPr>
          <w:rFonts w:ascii="Arial" w:hAnsi="Arial" w:cs="Arial"/>
          <w:sz w:val="17"/>
          <w:szCs w:val="17"/>
          <w:lang w:val="it-IT"/>
        </w:rPr>
        <w:t xml:space="preserve"> miliardi di euro. </w:t>
      </w:r>
      <w:proofErr w:type="spellStart"/>
      <w:r w:rsidR="004E4DF4" w:rsidRPr="00A01EE6">
        <w:rPr>
          <w:rFonts w:ascii="Arial" w:hAnsi="Arial" w:cs="Arial"/>
          <w:sz w:val="17"/>
          <w:szCs w:val="17"/>
          <w:lang w:val="it-IT"/>
        </w:rPr>
        <w:t>Asset</w:t>
      </w:r>
      <w:proofErr w:type="spellEnd"/>
      <w:r w:rsidR="004E4DF4" w:rsidRPr="00A01EE6">
        <w:rPr>
          <w:rFonts w:ascii="Arial" w:hAnsi="Arial" w:cs="Arial"/>
          <w:sz w:val="17"/>
          <w:szCs w:val="17"/>
          <w:lang w:val="it-IT"/>
        </w:rPr>
        <w:t xml:space="preserve"> </w:t>
      </w:r>
      <w:proofErr w:type="spellStart"/>
      <w:r w:rsidR="004E4DF4" w:rsidRPr="00A01EE6">
        <w:rPr>
          <w:rFonts w:ascii="Arial" w:hAnsi="Arial" w:cs="Arial"/>
          <w:sz w:val="17"/>
          <w:szCs w:val="17"/>
          <w:lang w:val="it-IT"/>
        </w:rPr>
        <w:t>allocation</w:t>
      </w:r>
      <w:proofErr w:type="spellEnd"/>
      <w:r w:rsidR="004E4DF4" w:rsidRPr="00A01EE6">
        <w:rPr>
          <w:rFonts w:ascii="Arial" w:hAnsi="Arial" w:cs="Arial"/>
          <w:sz w:val="17"/>
          <w:szCs w:val="17"/>
          <w:lang w:val="it-IT"/>
        </w:rPr>
        <w:t xml:space="preserve"> 2017: la classe obbligazionaria rappresenta il 36% dell'intero patrimonio, la classe azionaria il 23%, la classe del ritorno assoluto e investimenti reali il 19,5%, la classe immobiliare il 17% e quella monetaria il 4,5%. </w:t>
      </w:r>
      <w:proofErr w:type="spellStart"/>
      <w:r w:rsidRPr="00A01EE6">
        <w:rPr>
          <w:rFonts w:ascii="Arial" w:hAnsi="Arial" w:cs="Arial"/>
          <w:sz w:val="17"/>
          <w:szCs w:val="17"/>
          <w:lang w:val="it-IT"/>
        </w:rPr>
        <w:t>Inarcassa</w:t>
      </w:r>
      <w:proofErr w:type="spellEnd"/>
      <w:r w:rsidRPr="00A01EE6">
        <w:rPr>
          <w:rFonts w:ascii="Arial" w:hAnsi="Arial" w:cs="Arial"/>
          <w:sz w:val="17"/>
          <w:szCs w:val="17"/>
          <w:lang w:val="it-IT"/>
        </w:rPr>
        <w:t xml:space="preserve">, crede nell’impegno per la crescita, </w:t>
      </w:r>
      <w:r w:rsidR="004E4DF4" w:rsidRPr="00A01EE6">
        <w:rPr>
          <w:rFonts w:ascii="Arial" w:hAnsi="Arial" w:cs="Arial"/>
          <w:sz w:val="17"/>
          <w:szCs w:val="17"/>
          <w:lang w:val="it-IT"/>
        </w:rPr>
        <w:t>ne</w:t>
      </w:r>
      <w:r w:rsidRPr="00A01EE6">
        <w:rPr>
          <w:rFonts w:ascii="Arial" w:hAnsi="Arial" w:cs="Arial"/>
          <w:sz w:val="17"/>
          <w:szCs w:val="17"/>
          <w:lang w:val="it-IT"/>
        </w:rPr>
        <w:t xml:space="preserve">llo sviluppo della </w:t>
      </w:r>
      <w:r w:rsidR="004E4DF4" w:rsidRPr="00A01EE6">
        <w:rPr>
          <w:rFonts w:ascii="Arial" w:hAnsi="Arial" w:cs="Arial"/>
          <w:sz w:val="17"/>
          <w:szCs w:val="17"/>
          <w:lang w:val="it-IT"/>
        </w:rPr>
        <w:t xml:space="preserve">libera </w:t>
      </w:r>
      <w:r w:rsidRPr="00A01EE6">
        <w:rPr>
          <w:rFonts w:ascii="Arial" w:hAnsi="Arial" w:cs="Arial"/>
          <w:sz w:val="17"/>
          <w:szCs w:val="17"/>
          <w:lang w:val="it-IT"/>
        </w:rPr>
        <w:t xml:space="preserve">professione e del Paese. </w:t>
      </w:r>
    </w:p>
    <w:p w:rsidR="00E7439C" w:rsidRPr="00A01EE6" w:rsidRDefault="00E7439C" w:rsidP="008A4514">
      <w:pPr>
        <w:spacing w:after="0" w:line="240" w:lineRule="exact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D52527" w:rsidRPr="00A01EE6" w:rsidRDefault="00D52527" w:rsidP="008A4514">
      <w:pPr>
        <w:spacing w:after="0" w:line="240" w:lineRule="exact"/>
        <w:jc w:val="both"/>
        <w:rPr>
          <w:rFonts w:ascii="Arial" w:hAnsi="Arial" w:cs="Arial"/>
          <w:sz w:val="17"/>
          <w:szCs w:val="17"/>
          <w:lang w:val="it-IT"/>
        </w:rPr>
      </w:pPr>
      <w:r w:rsidRPr="00A01EE6">
        <w:rPr>
          <w:rFonts w:ascii="Arial" w:hAnsi="Arial" w:cs="Arial"/>
          <w:b/>
          <w:sz w:val="17"/>
          <w:szCs w:val="17"/>
          <w:lang w:val="it-IT"/>
        </w:rPr>
        <w:t xml:space="preserve">PER INFORMAZIONI SUI PRINCIPI DI INVESTIMENTO RESPONSABILE: </w:t>
      </w:r>
      <w:r w:rsidRPr="00A01EE6">
        <w:rPr>
          <w:rFonts w:ascii="Arial" w:hAnsi="Arial" w:cs="Arial"/>
          <w:sz w:val="17"/>
          <w:szCs w:val="17"/>
          <w:lang w:val="it-IT"/>
        </w:rPr>
        <w:t>www.unpri.org</w:t>
      </w:r>
    </w:p>
    <w:sectPr w:rsidR="00D52527" w:rsidRPr="00A01EE6" w:rsidSect="00773B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84" w:right="1440" w:bottom="1440" w:left="1440" w:header="720" w:footer="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AE5" w:rsidRDefault="00997AE5">
      <w:pPr>
        <w:spacing w:after="0" w:line="240" w:lineRule="auto"/>
      </w:pPr>
      <w:r>
        <w:separator/>
      </w:r>
    </w:p>
  </w:endnote>
  <w:endnote w:type="continuationSeparator" w:id="0">
    <w:p w:rsidR="00997AE5" w:rsidRDefault="00997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1D" w:rsidRDefault="0054351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1D" w:rsidRDefault="00D825A1">
    <w:pPr>
      <w:pStyle w:val="Pidipagina"/>
      <w:spacing w:after="0" w:line="240" w:lineRule="auto"/>
      <w:rPr>
        <w:lang w:val="it-IT"/>
      </w:rPr>
    </w:pPr>
    <w:proofErr w:type="spellStart"/>
    <w:r>
      <w:rPr>
        <w:lang w:val="it-IT"/>
      </w:rPr>
      <w:t>Inarcassa</w:t>
    </w:r>
    <w:proofErr w:type="spellEnd"/>
    <w:r>
      <w:rPr>
        <w:lang w:val="it-IT"/>
      </w:rPr>
      <w:t xml:space="preserve"> - Ufficio Comunicazione e Relazioni Esterne </w:t>
    </w:r>
  </w:p>
  <w:p w:rsidR="00D825A1" w:rsidRDefault="00D825A1">
    <w:pPr>
      <w:pStyle w:val="Pidipagina"/>
      <w:spacing w:after="0" w:line="240" w:lineRule="auto"/>
      <w:rPr>
        <w:lang w:val="it-IT"/>
      </w:rPr>
    </w:pPr>
    <w:r>
      <w:rPr>
        <w:lang w:val="it-IT"/>
      </w:rPr>
      <w:t xml:space="preserve">Responsabile: Silvia </w:t>
    </w:r>
    <w:proofErr w:type="spellStart"/>
    <w:proofErr w:type="gramStart"/>
    <w:r>
      <w:rPr>
        <w:lang w:val="it-IT"/>
      </w:rPr>
      <w:t>Pellicciari</w:t>
    </w:r>
    <w:proofErr w:type="spellEnd"/>
    <w:r>
      <w:rPr>
        <w:lang w:val="it-IT"/>
      </w:rPr>
      <w:t xml:space="preserve">  -</w:t>
    </w:r>
    <w:proofErr w:type="gramEnd"/>
    <w:r>
      <w:rPr>
        <w:lang w:val="it-IT"/>
      </w:rPr>
      <w:t xml:space="preserve"> ufficiostampa@inarcassa.it</w:t>
    </w:r>
  </w:p>
  <w:p w:rsidR="00D825A1" w:rsidRDefault="00D825A1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1D" w:rsidRDefault="0054351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AE5" w:rsidRDefault="00997AE5">
      <w:pPr>
        <w:spacing w:after="0" w:line="240" w:lineRule="auto"/>
      </w:pPr>
      <w:r>
        <w:separator/>
      </w:r>
    </w:p>
  </w:footnote>
  <w:footnote w:type="continuationSeparator" w:id="0">
    <w:p w:rsidR="00997AE5" w:rsidRDefault="00997A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1D" w:rsidRDefault="0054351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1D" w:rsidRDefault="0054351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51D" w:rsidRDefault="005435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E3CF9"/>
    <w:multiLevelType w:val="hybridMultilevel"/>
    <w:tmpl w:val="940050E2"/>
    <w:lvl w:ilvl="0" w:tplc="D7A697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60D16"/>
    <w:multiLevelType w:val="hybridMultilevel"/>
    <w:tmpl w:val="BE50AC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D56"/>
    <w:multiLevelType w:val="hybridMultilevel"/>
    <w:tmpl w:val="C0AAC2E8"/>
    <w:lvl w:ilvl="0" w:tplc="C5EA34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5A8D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1AB9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B0FA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EE978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DA0508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E2C3E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2882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BC3B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4EDF00A0"/>
    <w:multiLevelType w:val="hybridMultilevel"/>
    <w:tmpl w:val="5066BA8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1A4"/>
    <w:rsid w:val="00004D56"/>
    <w:rsid w:val="0003551A"/>
    <w:rsid w:val="00037CBA"/>
    <w:rsid w:val="00051C94"/>
    <w:rsid w:val="000557FF"/>
    <w:rsid w:val="000B12EB"/>
    <w:rsid w:val="000D196F"/>
    <w:rsid w:val="000F56B0"/>
    <w:rsid w:val="00113116"/>
    <w:rsid w:val="00151679"/>
    <w:rsid w:val="001570AF"/>
    <w:rsid w:val="0017238A"/>
    <w:rsid w:val="001770FE"/>
    <w:rsid w:val="00194042"/>
    <w:rsid w:val="001A18CF"/>
    <w:rsid w:val="001D0CE7"/>
    <w:rsid w:val="00205B5E"/>
    <w:rsid w:val="00214D87"/>
    <w:rsid w:val="00255C40"/>
    <w:rsid w:val="00260686"/>
    <w:rsid w:val="00274424"/>
    <w:rsid w:val="00283674"/>
    <w:rsid w:val="00310099"/>
    <w:rsid w:val="00314B68"/>
    <w:rsid w:val="00322F55"/>
    <w:rsid w:val="00350B0F"/>
    <w:rsid w:val="003520F8"/>
    <w:rsid w:val="003655A5"/>
    <w:rsid w:val="00367754"/>
    <w:rsid w:val="003814F8"/>
    <w:rsid w:val="003929FD"/>
    <w:rsid w:val="003A4D02"/>
    <w:rsid w:val="003C5EE6"/>
    <w:rsid w:val="003F3010"/>
    <w:rsid w:val="00440ADD"/>
    <w:rsid w:val="00456B30"/>
    <w:rsid w:val="004739FA"/>
    <w:rsid w:val="004951D5"/>
    <w:rsid w:val="004961E8"/>
    <w:rsid w:val="004B571D"/>
    <w:rsid w:val="004E4DF4"/>
    <w:rsid w:val="004E6C71"/>
    <w:rsid w:val="004F0B95"/>
    <w:rsid w:val="0050004D"/>
    <w:rsid w:val="0054351D"/>
    <w:rsid w:val="00551B41"/>
    <w:rsid w:val="00592ACA"/>
    <w:rsid w:val="005936D7"/>
    <w:rsid w:val="005A160D"/>
    <w:rsid w:val="005B50DD"/>
    <w:rsid w:val="005C6AC6"/>
    <w:rsid w:val="0060215A"/>
    <w:rsid w:val="00611119"/>
    <w:rsid w:val="00620FE3"/>
    <w:rsid w:val="00647AD5"/>
    <w:rsid w:val="006711A5"/>
    <w:rsid w:val="00690A12"/>
    <w:rsid w:val="00695AC6"/>
    <w:rsid w:val="006D547A"/>
    <w:rsid w:val="007044AC"/>
    <w:rsid w:val="00716C21"/>
    <w:rsid w:val="00745A37"/>
    <w:rsid w:val="00747460"/>
    <w:rsid w:val="00765A76"/>
    <w:rsid w:val="00773B87"/>
    <w:rsid w:val="00785E20"/>
    <w:rsid w:val="0078681C"/>
    <w:rsid w:val="00795D24"/>
    <w:rsid w:val="007A17C6"/>
    <w:rsid w:val="007B7CEA"/>
    <w:rsid w:val="007D6C51"/>
    <w:rsid w:val="008041A4"/>
    <w:rsid w:val="0082292C"/>
    <w:rsid w:val="00827480"/>
    <w:rsid w:val="008553B2"/>
    <w:rsid w:val="00866E34"/>
    <w:rsid w:val="00867521"/>
    <w:rsid w:val="00874634"/>
    <w:rsid w:val="008A4514"/>
    <w:rsid w:val="008B71D8"/>
    <w:rsid w:val="008C5DCF"/>
    <w:rsid w:val="008C69ED"/>
    <w:rsid w:val="008E6CF3"/>
    <w:rsid w:val="00910032"/>
    <w:rsid w:val="009148B1"/>
    <w:rsid w:val="00997AE5"/>
    <w:rsid w:val="009F4525"/>
    <w:rsid w:val="009F48C9"/>
    <w:rsid w:val="00A01EE6"/>
    <w:rsid w:val="00A2071A"/>
    <w:rsid w:val="00A37D75"/>
    <w:rsid w:val="00A416A7"/>
    <w:rsid w:val="00A80914"/>
    <w:rsid w:val="00A93C3E"/>
    <w:rsid w:val="00AB6EB1"/>
    <w:rsid w:val="00AC695F"/>
    <w:rsid w:val="00AD0BCB"/>
    <w:rsid w:val="00AD341D"/>
    <w:rsid w:val="00B25E44"/>
    <w:rsid w:val="00B31B46"/>
    <w:rsid w:val="00B35BF0"/>
    <w:rsid w:val="00B51505"/>
    <w:rsid w:val="00B8001E"/>
    <w:rsid w:val="00B97C3A"/>
    <w:rsid w:val="00BD3A26"/>
    <w:rsid w:val="00C06558"/>
    <w:rsid w:val="00C07773"/>
    <w:rsid w:val="00C169A3"/>
    <w:rsid w:val="00C22E7A"/>
    <w:rsid w:val="00CA4B1D"/>
    <w:rsid w:val="00D063E2"/>
    <w:rsid w:val="00D07D31"/>
    <w:rsid w:val="00D52527"/>
    <w:rsid w:val="00D72B19"/>
    <w:rsid w:val="00D825A1"/>
    <w:rsid w:val="00D83453"/>
    <w:rsid w:val="00DA5A85"/>
    <w:rsid w:val="00DB2025"/>
    <w:rsid w:val="00DB3FB1"/>
    <w:rsid w:val="00DC35DC"/>
    <w:rsid w:val="00DE6E19"/>
    <w:rsid w:val="00E26B02"/>
    <w:rsid w:val="00E4133A"/>
    <w:rsid w:val="00E7439C"/>
    <w:rsid w:val="00E93D0D"/>
    <w:rsid w:val="00EC2D5C"/>
    <w:rsid w:val="00EC7B4E"/>
    <w:rsid w:val="00EE01A4"/>
    <w:rsid w:val="00EF043F"/>
    <w:rsid w:val="00EF463D"/>
    <w:rsid w:val="00F3382E"/>
    <w:rsid w:val="00F710D7"/>
    <w:rsid w:val="00FA2D52"/>
    <w:rsid w:val="00FB2752"/>
    <w:rsid w:val="00FD71E1"/>
    <w:rsid w:val="00FE3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439613B4-99B7-4A84-A207-100B3D899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character" w:default="1" w:styleId="Carpredefinitoparagrafo">
    <w:name w:val="Default Paragraph Font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rPr>
      <w:sz w:val="22"/>
      <w:szCs w:val="22"/>
    </w:rPr>
  </w:style>
  <w:style w:type="character" w:customStyle="1" w:styleId="PidipaginaCarattere">
    <w:name w:val="Piè di pagina Carattere"/>
    <w:rPr>
      <w:sz w:val="22"/>
      <w:szCs w:val="22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680"/>
        <w:tab w:val="right" w:pos="9360"/>
      </w:tabs>
    </w:pPr>
  </w:style>
  <w:style w:type="paragraph" w:styleId="Pidipagina">
    <w:name w:val="footer"/>
    <w:basedOn w:val="Normale"/>
    <w:pPr>
      <w:tabs>
        <w:tab w:val="center" w:pos="4680"/>
        <w:tab w:val="right" w:pos="9360"/>
      </w:tabs>
    </w:pPr>
  </w:style>
  <w:style w:type="paragraph" w:customStyle="1" w:styleId="Default">
    <w:name w:val="Default"/>
    <w:rsid w:val="00D07D31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Collegamentoipertestuale">
    <w:name w:val="Hyperlink"/>
    <w:uiPriority w:val="99"/>
    <w:semiHidden/>
    <w:unhideWhenUsed/>
    <w:rsid w:val="0082292C"/>
    <w:rPr>
      <w:color w:val="0000FF"/>
      <w:u w:val="single"/>
    </w:rPr>
  </w:style>
  <w:style w:type="paragraph" w:customStyle="1" w:styleId="testo">
    <w:name w:val="testo"/>
    <w:basedOn w:val="Normale"/>
    <w:rsid w:val="00037CBA"/>
    <w:pPr>
      <w:tabs>
        <w:tab w:val="left" w:pos="7740"/>
      </w:tabs>
      <w:suppressAutoHyphens w:val="0"/>
      <w:spacing w:before="240" w:after="0" w:line="320" w:lineRule="exact"/>
      <w:jc w:val="both"/>
    </w:pPr>
    <w:rPr>
      <w:rFonts w:ascii="Verdana" w:eastAsia="Times New Roman" w:hAnsi="Verdana" w:cs="Times New Roman"/>
      <w:spacing w:val="-4"/>
      <w:sz w:val="19"/>
      <w:szCs w:val="20"/>
      <w:lang w:val="it-IT" w:eastAsia="it-IT"/>
    </w:rPr>
  </w:style>
  <w:style w:type="character" w:styleId="Enfasigrassetto">
    <w:name w:val="Strong"/>
    <w:uiPriority w:val="22"/>
    <w:qFormat/>
    <w:rsid w:val="005936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8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35802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668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560">
          <w:marLeft w:val="576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Pellicciari</dc:creator>
  <cp:keywords/>
  <cp:lastModifiedBy>Alessandra Tolloy</cp:lastModifiedBy>
  <cp:revision>3</cp:revision>
  <cp:lastPrinted>2017-09-12T09:21:00Z</cp:lastPrinted>
  <dcterms:created xsi:type="dcterms:W3CDTF">2017-09-18T10:49:00Z</dcterms:created>
  <dcterms:modified xsi:type="dcterms:W3CDTF">2017-09-18T10:49:00Z</dcterms:modified>
</cp:coreProperties>
</file>