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35" w:rsidRDefault="002E0B6B" w:rsidP="00043835">
      <w:pPr>
        <w:spacing w:after="0" w:line="240" w:lineRule="auto"/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4668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20" w:rsidRDefault="00474D20" w:rsidP="00043835">
      <w:pPr>
        <w:pStyle w:val="Titolo2"/>
        <w:rPr>
          <w:sz w:val="24"/>
        </w:rPr>
      </w:pPr>
    </w:p>
    <w:p w:rsidR="00F76F53" w:rsidRDefault="00F76F53" w:rsidP="00043835">
      <w:pPr>
        <w:pStyle w:val="Titolo2"/>
        <w:rPr>
          <w:sz w:val="22"/>
          <w:szCs w:val="22"/>
        </w:rPr>
      </w:pPr>
    </w:p>
    <w:p w:rsidR="00943527" w:rsidRDefault="00943527" w:rsidP="00043835">
      <w:pPr>
        <w:pStyle w:val="Titolo2"/>
        <w:rPr>
          <w:sz w:val="22"/>
          <w:szCs w:val="22"/>
        </w:rPr>
      </w:pPr>
    </w:p>
    <w:p w:rsidR="00043835" w:rsidRPr="0081738F" w:rsidRDefault="00043835" w:rsidP="00043835">
      <w:pPr>
        <w:pStyle w:val="Titolo2"/>
        <w:rPr>
          <w:sz w:val="22"/>
          <w:szCs w:val="22"/>
        </w:rPr>
      </w:pPr>
      <w:r w:rsidRPr="0081738F">
        <w:rPr>
          <w:sz w:val="22"/>
          <w:szCs w:val="22"/>
        </w:rPr>
        <w:t>COMUNICATO STAMPA</w:t>
      </w:r>
    </w:p>
    <w:p w:rsidR="00043835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:rsidR="009D7DD0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color w:val="990033"/>
          <w:sz w:val="22"/>
          <w:szCs w:val="22"/>
        </w:rPr>
      </w:pPr>
      <w:r w:rsidRPr="0081738F">
        <w:rPr>
          <w:rFonts w:ascii="Verdana" w:hAnsi="Verdana" w:cs="Verdana"/>
          <w:b/>
          <w:color w:val="990033"/>
          <w:sz w:val="22"/>
          <w:szCs w:val="22"/>
        </w:rPr>
        <w:t xml:space="preserve">Inarcassa: bilancio </w:t>
      </w:r>
      <w:r w:rsidR="009D7DD0">
        <w:rPr>
          <w:rFonts w:ascii="Verdana" w:hAnsi="Verdana" w:cs="Verdana"/>
          <w:b/>
          <w:color w:val="990033"/>
          <w:sz w:val="22"/>
          <w:szCs w:val="22"/>
        </w:rPr>
        <w:t>di previsione 20</w:t>
      </w:r>
      <w:r w:rsidR="00A8677B">
        <w:rPr>
          <w:rFonts w:ascii="Verdana" w:hAnsi="Verdana" w:cs="Verdana"/>
          <w:b/>
          <w:color w:val="990033"/>
          <w:sz w:val="22"/>
          <w:szCs w:val="22"/>
        </w:rPr>
        <w:t>20</w:t>
      </w:r>
    </w:p>
    <w:p w:rsidR="00043835" w:rsidRDefault="009D7DD0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>
        <w:rPr>
          <w:rFonts w:ascii="Verdana" w:eastAsia="Times New Roman" w:hAnsi="Verdana" w:cs="Verdana"/>
          <w:b/>
          <w:color w:val="990033"/>
          <w:lang w:val="it-IT" w:eastAsia="ar-SA"/>
        </w:rPr>
        <w:t>S</w:t>
      </w:r>
      <w:r w:rsidR="00732177">
        <w:rPr>
          <w:rFonts w:ascii="Verdana" w:eastAsia="Times New Roman" w:hAnsi="Verdana" w:cs="Verdana"/>
          <w:b/>
          <w:color w:val="990033"/>
          <w:lang w:val="it-IT" w:eastAsia="ar-SA"/>
        </w:rPr>
        <w:t>antoro: “</w:t>
      </w:r>
      <w:r w:rsidR="004E777B">
        <w:rPr>
          <w:rFonts w:ascii="Verdana" w:eastAsia="Times New Roman" w:hAnsi="Verdana" w:cs="Verdana"/>
          <w:b/>
          <w:color w:val="990033"/>
          <w:lang w:val="it-IT" w:eastAsia="ar-SA"/>
        </w:rPr>
        <w:t>patrimonio</w:t>
      </w:r>
      <w:r w:rsidR="00741CFB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  <w:r w:rsidR="00F34AB3">
        <w:rPr>
          <w:rFonts w:ascii="Verdana" w:eastAsia="Times New Roman" w:hAnsi="Verdana" w:cs="Verdana"/>
          <w:b/>
          <w:color w:val="990033"/>
          <w:lang w:val="it-IT" w:eastAsia="ar-SA"/>
        </w:rPr>
        <w:t xml:space="preserve">a </w:t>
      </w:r>
      <w:r w:rsidR="00741CFB">
        <w:rPr>
          <w:rFonts w:ascii="Verdana" w:eastAsia="Times New Roman" w:hAnsi="Verdana" w:cs="Verdana"/>
          <w:b/>
          <w:color w:val="990033"/>
          <w:lang w:val="it-IT" w:eastAsia="ar-SA"/>
        </w:rPr>
        <w:t xml:space="preserve">quota </w:t>
      </w:r>
      <w:r w:rsidR="00B056D6">
        <w:rPr>
          <w:rFonts w:ascii="Verdana" w:eastAsia="Times New Roman" w:hAnsi="Verdana" w:cs="Verdana"/>
          <w:b/>
          <w:color w:val="990033"/>
          <w:lang w:val="it-IT" w:eastAsia="ar-SA"/>
        </w:rPr>
        <w:t>1</w:t>
      </w:r>
      <w:r w:rsidR="003B6516">
        <w:rPr>
          <w:rFonts w:ascii="Verdana" w:eastAsia="Times New Roman" w:hAnsi="Verdana" w:cs="Verdana"/>
          <w:b/>
          <w:color w:val="990033"/>
          <w:lang w:val="it-IT" w:eastAsia="ar-SA"/>
        </w:rPr>
        <w:t>1</w:t>
      </w:r>
      <w:r w:rsidR="008A25C4">
        <w:rPr>
          <w:rFonts w:ascii="Verdana" w:eastAsia="Times New Roman" w:hAnsi="Verdana" w:cs="Verdana"/>
          <w:b/>
          <w:color w:val="990033"/>
          <w:lang w:val="it-IT" w:eastAsia="ar-SA"/>
        </w:rPr>
        <w:t>,</w:t>
      </w:r>
      <w:r w:rsidR="00F34AB3">
        <w:rPr>
          <w:rFonts w:ascii="Verdana" w:eastAsia="Times New Roman" w:hAnsi="Verdana" w:cs="Verdana"/>
          <w:b/>
          <w:color w:val="990033"/>
          <w:lang w:val="it-IT" w:eastAsia="ar-SA"/>
        </w:rPr>
        <w:t>7</w:t>
      </w:r>
      <w:r w:rsidR="00741CFB">
        <w:rPr>
          <w:rFonts w:ascii="Verdana" w:eastAsia="Times New Roman" w:hAnsi="Verdana" w:cs="Verdana"/>
          <w:b/>
          <w:color w:val="990033"/>
          <w:lang w:val="it-IT" w:eastAsia="ar-SA"/>
        </w:rPr>
        <w:t xml:space="preserve"> miliardi</w:t>
      </w:r>
      <w:r w:rsidR="004E777B">
        <w:rPr>
          <w:rFonts w:ascii="Verdana" w:eastAsia="Times New Roman" w:hAnsi="Verdana" w:cs="Verdana"/>
          <w:b/>
          <w:color w:val="990033"/>
          <w:lang w:val="it-IT" w:eastAsia="ar-SA"/>
        </w:rPr>
        <w:t>, iscritti più forti e tutelati</w:t>
      </w:r>
      <w:r w:rsidR="00AD4594">
        <w:rPr>
          <w:rFonts w:ascii="Verdana" w:eastAsia="Times New Roman" w:hAnsi="Verdana" w:cs="Verdana"/>
          <w:b/>
          <w:color w:val="990033"/>
          <w:lang w:val="it-IT" w:eastAsia="ar-SA"/>
        </w:rPr>
        <w:t>”</w:t>
      </w:r>
      <w:r w:rsidR="00061512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</w:p>
    <w:p w:rsidR="00EE3F73" w:rsidRDefault="00EE3F73" w:rsidP="00AA1C93">
      <w:pPr>
        <w:spacing w:after="0" w:line="240" w:lineRule="exact"/>
        <w:jc w:val="both"/>
        <w:rPr>
          <w:rFonts w:ascii="Times New Roman" w:hAnsi="Times New Roman"/>
          <w:lang w:val="it-IT"/>
        </w:rPr>
      </w:pPr>
    </w:p>
    <w:p w:rsidR="00EE3F73" w:rsidRPr="002B1954" w:rsidRDefault="00EE3F73" w:rsidP="002B1954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2B1954">
        <w:rPr>
          <w:rFonts w:ascii="Times New Roman" w:hAnsi="Times New Roman"/>
          <w:sz w:val="23"/>
          <w:szCs w:val="23"/>
          <w:lang w:val="it-IT"/>
        </w:rPr>
        <w:t xml:space="preserve">Con un flusso di entrate contributive 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>in aumento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, al di sopra di </w:t>
      </w:r>
      <w:r w:rsidRPr="002B1954">
        <w:rPr>
          <w:rFonts w:ascii="Times New Roman" w:hAnsi="Times New Roman"/>
          <w:b/>
          <w:sz w:val="23"/>
          <w:szCs w:val="23"/>
          <w:lang w:val="it-IT"/>
        </w:rPr>
        <w:t>1 miliardo di euro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e un avanzo economico di oltre </w:t>
      </w:r>
      <w:r w:rsidRPr="002B1954">
        <w:rPr>
          <w:rFonts w:ascii="Times New Roman" w:hAnsi="Times New Roman"/>
          <w:b/>
          <w:sz w:val="23"/>
          <w:szCs w:val="23"/>
          <w:lang w:val="it-IT"/>
        </w:rPr>
        <w:t>428 milioni di euro</w:t>
      </w:r>
      <w:r w:rsidRPr="002B1954">
        <w:rPr>
          <w:rFonts w:ascii="Times New Roman" w:hAnsi="Times New Roman"/>
          <w:sz w:val="23"/>
          <w:szCs w:val="23"/>
          <w:lang w:val="it-IT"/>
        </w:rPr>
        <w:t>,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 nel 2020 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>il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patrimonio 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di Inarcassa raggiungerà gli </w:t>
      </w:r>
      <w:r w:rsidRPr="002B1954">
        <w:rPr>
          <w:rFonts w:ascii="Times New Roman" w:hAnsi="Times New Roman"/>
          <w:b/>
          <w:sz w:val="23"/>
          <w:szCs w:val="23"/>
          <w:lang w:val="it-IT"/>
        </w:rPr>
        <w:t>11,</w:t>
      </w:r>
      <w:r w:rsidR="00F34AB3">
        <w:rPr>
          <w:rFonts w:ascii="Times New Roman" w:hAnsi="Times New Roman"/>
          <w:b/>
          <w:sz w:val="23"/>
          <w:szCs w:val="23"/>
          <w:lang w:val="it-IT"/>
        </w:rPr>
        <w:t xml:space="preserve">7 </w:t>
      </w:r>
      <w:r w:rsidRPr="002B1954">
        <w:rPr>
          <w:rFonts w:ascii="Times New Roman" w:hAnsi="Times New Roman"/>
          <w:b/>
          <w:sz w:val="23"/>
          <w:szCs w:val="23"/>
          <w:lang w:val="it-IT"/>
        </w:rPr>
        <w:t>miliardi di euro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. </w:t>
      </w:r>
    </w:p>
    <w:p w:rsidR="00EE2D3D" w:rsidRPr="002B1954" w:rsidRDefault="00EE2D3D" w:rsidP="002B1954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:rsidR="009C318A" w:rsidRPr="002B1954" w:rsidRDefault="00CE38D2" w:rsidP="002B1954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2B1954">
        <w:rPr>
          <w:rFonts w:ascii="Times New Roman" w:hAnsi="Times New Roman"/>
          <w:sz w:val="23"/>
          <w:szCs w:val="23"/>
          <w:lang w:val="it-IT"/>
        </w:rPr>
        <w:t xml:space="preserve">Le stime contenute 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>n</w:t>
      </w:r>
      <w:r w:rsidR="00EE2D3D" w:rsidRPr="002B1954">
        <w:rPr>
          <w:rFonts w:ascii="Times New Roman" w:hAnsi="Times New Roman"/>
          <w:sz w:val="23"/>
          <w:szCs w:val="23"/>
          <w:lang w:val="it-IT"/>
        </w:rPr>
        <w:t xml:space="preserve">el 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>B</w:t>
      </w:r>
      <w:r w:rsidR="00EE2D3D" w:rsidRPr="002B1954">
        <w:rPr>
          <w:rFonts w:ascii="Times New Roman" w:hAnsi="Times New Roman"/>
          <w:sz w:val="23"/>
          <w:szCs w:val="23"/>
          <w:lang w:val="it-IT"/>
        </w:rPr>
        <w:t>udget 20</w:t>
      </w:r>
      <w:r w:rsidR="00875DD3" w:rsidRPr="002B1954">
        <w:rPr>
          <w:rFonts w:ascii="Times New Roman" w:hAnsi="Times New Roman"/>
          <w:sz w:val="23"/>
          <w:szCs w:val="23"/>
          <w:lang w:val="it-IT"/>
        </w:rPr>
        <w:t>20</w:t>
      </w:r>
      <w:r w:rsidR="00EE2D3D" w:rsidRPr="002B1954">
        <w:rPr>
          <w:rFonts w:ascii="Times New Roman" w:hAnsi="Times New Roman"/>
          <w:sz w:val="23"/>
          <w:szCs w:val="23"/>
          <w:lang w:val="it-IT"/>
        </w:rPr>
        <w:t xml:space="preserve">, approvato dal </w:t>
      </w:r>
      <w:r w:rsidR="00F847C2" w:rsidRPr="002B1954">
        <w:rPr>
          <w:rFonts w:ascii="Times New Roman" w:hAnsi="Times New Roman"/>
          <w:sz w:val="23"/>
          <w:szCs w:val="23"/>
          <w:lang w:val="it-IT"/>
        </w:rPr>
        <w:t>Comitato Nazionale dei Delegati</w:t>
      </w:r>
      <w:r w:rsidR="00851140" w:rsidRPr="002B1954">
        <w:rPr>
          <w:rFonts w:ascii="Times New Roman" w:hAnsi="Times New Roman"/>
          <w:sz w:val="23"/>
          <w:szCs w:val="23"/>
          <w:lang w:val="it-IT"/>
        </w:rPr>
        <w:t xml:space="preserve"> nell’adunanza </w:t>
      </w:r>
      <w:r w:rsidR="00EE2D3D" w:rsidRPr="002B1954">
        <w:rPr>
          <w:rFonts w:ascii="Times New Roman" w:hAnsi="Times New Roman"/>
          <w:sz w:val="23"/>
          <w:szCs w:val="23"/>
          <w:lang w:val="it-IT"/>
        </w:rPr>
        <w:t>del 2</w:t>
      </w:r>
      <w:r w:rsidR="006B1D33" w:rsidRPr="002B1954">
        <w:rPr>
          <w:rFonts w:ascii="Times New Roman" w:hAnsi="Times New Roman"/>
          <w:sz w:val="23"/>
          <w:szCs w:val="23"/>
          <w:lang w:val="it-IT"/>
        </w:rPr>
        <w:t>8</w:t>
      </w:r>
      <w:r w:rsidR="00EE2D3D" w:rsidRPr="002B1954">
        <w:rPr>
          <w:rFonts w:ascii="Times New Roman" w:hAnsi="Times New Roman"/>
          <w:sz w:val="23"/>
          <w:szCs w:val="23"/>
          <w:lang w:val="it-IT"/>
        </w:rPr>
        <w:t xml:space="preserve"> e </w:t>
      </w:r>
      <w:r w:rsidR="006B1D33" w:rsidRPr="002B1954">
        <w:rPr>
          <w:rFonts w:ascii="Times New Roman" w:hAnsi="Times New Roman"/>
          <w:sz w:val="23"/>
          <w:szCs w:val="23"/>
          <w:lang w:val="it-IT"/>
        </w:rPr>
        <w:t>29</w:t>
      </w:r>
      <w:r w:rsidR="00EE2D3D" w:rsidRPr="002B1954">
        <w:rPr>
          <w:rFonts w:ascii="Times New Roman" w:hAnsi="Times New Roman"/>
          <w:sz w:val="23"/>
          <w:szCs w:val="23"/>
          <w:lang w:val="it-IT"/>
        </w:rPr>
        <w:t xml:space="preserve"> novembre, 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>hanno permesso di traguardare un risultato positivo legato al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 buon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 xml:space="preserve"> andamento della gestione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 previdenziale, 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 xml:space="preserve">di quella 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>operativa e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 xml:space="preserve">di quella 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>patrimoniale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. </w:t>
      </w:r>
    </w:p>
    <w:p w:rsidR="008A25C4" w:rsidRPr="002B1954" w:rsidRDefault="008A25C4" w:rsidP="002B1954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:rsidR="009C318A" w:rsidRPr="002B1954" w:rsidRDefault="009C318A" w:rsidP="002B1954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2B1954">
        <w:rPr>
          <w:rFonts w:ascii="Times New Roman" w:hAnsi="Times New Roman"/>
          <w:sz w:val="23"/>
          <w:szCs w:val="23"/>
          <w:lang w:val="it-IT"/>
        </w:rPr>
        <w:t xml:space="preserve">“Affidiamo a questo bilancio di previsione, il compito di traguardare il quinquennio di questa consiliatura </w:t>
      </w:r>
      <w:r w:rsidR="003B6516" w:rsidRPr="002B1954">
        <w:rPr>
          <w:rFonts w:ascii="Times New Roman" w:hAnsi="Times New Roman"/>
          <w:sz w:val="23"/>
          <w:szCs w:val="23"/>
          <w:lang w:val="it-IT"/>
        </w:rPr>
        <w:t xml:space="preserve">- </w:t>
      </w:r>
      <w:r w:rsidRPr="002B1954">
        <w:rPr>
          <w:rFonts w:ascii="Times New Roman" w:hAnsi="Times New Roman"/>
          <w:sz w:val="23"/>
          <w:szCs w:val="23"/>
          <w:lang w:val="it-IT"/>
        </w:rPr>
        <w:t>ha dichiarato il Presidente Giuseppe Santoro - in coerenza con il Piano strategico 2015-2020. In questi anni impegnativi di mandato, abbiamo operato per il raggiungimento degli obiettivi in cui abbiamo sempre creduto: dal miglioramento dei servizi, alle prestazioni, alla solidarietà, alla gestione prudente, efficace e trasparente di un patrimonio in costante crescita, al compito attivo che ci siamo assunti anche nella difesa della professione”.</w:t>
      </w:r>
    </w:p>
    <w:p w:rsidR="00DC44CF" w:rsidRPr="002B1954" w:rsidRDefault="00DC44CF" w:rsidP="002B1954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:rsidR="007871BB" w:rsidRPr="002B1954" w:rsidRDefault="00DC44CF" w:rsidP="002B1954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2B1954">
        <w:rPr>
          <w:rFonts w:ascii="Times New Roman" w:hAnsi="Times New Roman"/>
          <w:sz w:val="23"/>
          <w:szCs w:val="23"/>
          <w:lang w:val="it-IT"/>
        </w:rPr>
        <w:t>Per il 2020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>,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le previsioni ipotizzano un andamento di iscrizioni e cancellazioni in linea con quello dell’anno precedent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>e, con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iscritti a fine anno 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>pari a</w:t>
      </w:r>
      <w:r w:rsidR="00834B76" w:rsidRPr="002B1954">
        <w:rPr>
          <w:rFonts w:ascii="Times New Roman" w:hAnsi="Times New Roman"/>
          <w:sz w:val="23"/>
          <w:szCs w:val="23"/>
          <w:lang w:val="it-IT"/>
        </w:rPr>
        <w:t>d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34B76" w:rsidRPr="002B1954">
        <w:rPr>
          <w:rFonts w:ascii="Times New Roman" w:hAnsi="Times New Roman"/>
          <w:sz w:val="23"/>
          <w:szCs w:val="23"/>
          <w:lang w:val="it-IT"/>
        </w:rPr>
        <w:t>oltre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170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 xml:space="preserve">.000 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unità. Il saldo della gestione previdenziale evidenzia </w:t>
      </w:r>
      <w:r w:rsidR="00EE3F73" w:rsidRPr="002B1954">
        <w:rPr>
          <w:rFonts w:ascii="Times New Roman" w:hAnsi="Times New Roman"/>
          <w:sz w:val="23"/>
          <w:szCs w:val="23"/>
          <w:lang w:val="it-IT"/>
        </w:rPr>
        <w:t xml:space="preserve">la prosecuzione della fase di ripresa della 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contribuzione corrente 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legata al recupero dei redditi degli associati, a fronte di un 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fisiologico aumento delle prestazioni. Nel 2020 le pensioni erogate saranno </w:t>
      </w:r>
      <w:r w:rsidR="00834B76" w:rsidRPr="002B1954">
        <w:rPr>
          <w:rFonts w:ascii="Times New Roman" w:hAnsi="Times New Roman"/>
          <w:sz w:val="23"/>
          <w:szCs w:val="23"/>
          <w:lang w:val="it-IT"/>
        </w:rPr>
        <w:t>poco più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DF4067">
        <w:rPr>
          <w:rFonts w:ascii="Times New Roman" w:hAnsi="Times New Roman"/>
          <w:sz w:val="23"/>
          <w:szCs w:val="23"/>
          <w:lang w:val="it-IT"/>
        </w:rPr>
        <w:t xml:space="preserve">di </w:t>
      </w:r>
      <w:r w:rsidRPr="002B1954">
        <w:rPr>
          <w:rFonts w:ascii="Times New Roman" w:hAnsi="Times New Roman"/>
          <w:sz w:val="23"/>
          <w:szCs w:val="23"/>
          <w:lang w:val="it-IT"/>
        </w:rPr>
        <w:t>39.000.</w:t>
      </w:r>
      <w:r w:rsidR="00B51FA9"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>La ripresa in corso, per quanto contenuta, del settore delle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>costruzion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>i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 e la dinamica positiva delle compravendite immobiliari, continua</w:t>
      </w:r>
      <w:r w:rsidR="005B2FC8">
        <w:rPr>
          <w:rFonts w:ascii="Times New Roman" w:hAnsi="Times New Roman"/>
          <w:sz w:val="23"/>
          <w:szCs w:val="23"/>
          <w:lang w:val="it-IT"/>
        </w:rPr>
        <w:t>no</w:t>
      </w:r>
      <w:bookmarkStart w:id="0" w:name="_GoBack"/>
      <w:bookmarkEnd w:id="0"/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 a favorire il recupero de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>l fatturato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223E61" w:rsidRPr="002B1954">
        <w:rPr>
          <w:rFonts w:ascii="Times New Roman" w:hAnsi="Times New Roman"/>
          <w:sz w:val="23"/>
          <w:szCs w:val="23"/>
          <w:lang w:val="it-IT"/>
        </w:rPr>
        <w:t xml:space="preserve">e dei redditi </w:t>
      </w:r>
      <w:r w:rsidR="007871BB" w:rsidRPr="002B1954">
        <w:rPr>
          <w:rFonts w:ascii="Times New Roman" w:hAnsi="Times New Roman"/>
          <w:sz w:val="23"/>
          <w:szCs w:val="23"/>
          <w:lang w:val="it-IT"/>
        </w:rPr>
        <w:t>degli associati</w:t>
      </w:r>
      <w:r w:rsidR="004D2F57" w:rsidRPr="002B1954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8A25C4" w:rsidRPr="002B1954">
        <w:rPr>
          <w:rFonts w:ascii="Times New Roman" w:hAnsi="Times New Roman"/>
          <w:sz w:val="23"/>
          <w:szCs w:val="23"/>
          <w:lang w:val="it-IT"/>
        </w:rPr>
        <w:t>in crescita per il terzo anno consecutivo.</w:t>
      </w:r>
    </w:p>
    <w:p w:rsidR="009C318A" w:rsidRPr="002B1954" w:rsidRDefault="009C318A" w:rsidP="002B1954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:rsidR="00AB79D4" w:rsidRPr="002B1954" w:rsidRDefault="007871BB" w:rsidP="002B1954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983D4E" w:rsidRPr="002B1954">
        <w:rPr>
          <w:rFonts w:ascii="Times New Roman" w:hAnsi="Times New Roman"/>
          <w:sz w:val="23"/>
          <w:szCs w:val="23"/>
          <w:lang w:val="it-IT"/>
        </w:rPr>
        <w:t>“</w:t>
      </w:r>
      <w:r w:rsidR="006D17C5" w:rsidRPr="002B1954">
        <w:rPr>
          <w:rFonts w:ascii="Times New Roman" w:hAnsi="Times New Roman"/>
          <w:sz w:val="23"/>
          <w:szCs w:val="23"/>
          <w:lang w:val="it-IT"/>
        </w:rPr>
        <w:t>Il buon funzionamento del mercato del lavoro</w:t>
      </w:r>
      <w:r w:rsidR="00983D4E" w:rsidRPr="002B1954">
        <w:rPr>
          <w:rFonts w:ascii="Times New Roman" w:hAnsi="Times New Roman"/>
          <w:sz w:val="23"/>
          <w:szCs w:val="23"/>
          <w:lang w:val="it-IT"/>
        </w:rPr>
        <w:t xml:space="preserve"> – sottolinea il Presidente Santoro -</w:t>
      </w:r>
      <w:r w:rsidR="006D17C5" w:rsidRPr="002B1954">
        <w:rPr>
          <w:rFonts w:ascii="Times New Roman" w:hAnsi="Times New Roman"/>
          <w:sz w:val="23"/>
          <w:szCs w:val="23"/>
          <w:lang w:val="it-IT"/>
        </w:rPr>
        <w:t xml:space="preserve"> in termini di tassi di attività e di occupazione, è requisito fondamentale e imprescindibile per la sostenibilit</w:t>
      </w:r>
      <w:r w:rsidR="00983D4E" w:rsidRPr="002B1954">
        <w:rPr>
          <w:rFonts w:ascii="Times New Roman" w:hAnsi="Times New Roman"/>
          <w:sz w:val="23"/>
          <w:szCs w:val="23"/>
          <w:lang w:val="it-IT"/>
        </w:rPr>
        <w:t>à</w:t>
      </w:r>
      <w:r w:rsidR="006D17C5" w:rsidRPr="002B1954">
        <w:rPr>
          <w:rFonts w:ascii="Times New Roman" w:hAnsi="Times New Roman"/>
          <w:sz w:val="23"/>
          <w:szCs w:val="23"/>
          <w:lang w:val="it-IT"/>
        </w:rPr>
        <w:t xml:space="preserve"> d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>e</w:t>
      </w:r>
      <w:r w:rsidR="006D17C5" w:rsidRPr="002B1954">
        <w:rPr>
          <w:rFonts w:ascii="Times New Roman" w:hAnsi="Times New Roman"/>
          <w:sz w:val="23"/>
          <w:szCs w:val="23"/>
          <w:lang w:val="it-IT"/>
        </w:rPr>
        <w:t>i sistemi previdenziali di lungo periodo e per l’adeguatezza delle prestazioni. Chi governa non dovrebbe far confusione finanziando la previdenza con i prelievi fiscali e lo stato sociale con i contributi che gravano sul lavoro.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 xml:space="preserve"> Inarcassa non si è lasciata distrarre dalle incertezze e dalle tante direttive che si sono succedute. E’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 xml:space="preserve"> una Cassa consapevole,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>rispettosa del lavoro e delle difficolt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>à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 xml:space="preserve"> quotidiane e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>,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 xml:space="preserve"> per questo, convinta di dover assicurare la solidit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>à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 xml:space="preserve"> del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>futuro con il patrimonio</w:t>
      </w:r>
      <w:r w:rsidR="00B74ED2" w:rsidRPr="002B1954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>amministrat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>o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 xml:space="preserve"> nell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>’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>esclusivo interesse degli ingegneri ed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B79D4" w:rsidRPr="002B1954">
        <w:rPr>
          <w:rFonts w:ascii="Times New Roman" w:hAnsi="Times New Roman"/>
          <w:sz w:val="23"/>
          <w:szCs w:val="23"/>
          <w:lang w:val="it-IT"/>
        </w:rPr>
        <w:t>architetti liberi professionisti.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 xml:space="preserve"> La dimensione che ha raggiunto </w:t>
      </w:r>
      <w:r w:rsidR="00B74ED2" w:rsidRPr="002B1954">
        <w:rPr>
          <w:rFonts w:ascii="Times New Roman" w:hAnsi="Times New Roman"/>
          <w:sz w:val="23"/>
          <w:szCs w:val="23"/>
          <w:lang w:val="it-IT"/>
        </w:rPr>
        <w:t xml:space="preserve">- </w:t>
      </w:r>
      <w:r w:rsidR="00464270" w:rsidRPr="002B1954">
        <w:rPr>
          <w:rFonts w:ascii="Times New Roman" w:hAnsi="Times New Roman"/>
          <w:sz w:val="23"/>
          <w:szCs w:val="23"/>
          <w:lang w:val="it-IT"/>
        </w:rPr>
        <w:t>conclude Santoro -, il ruolo che ha svolto e che può assumere sia nel contesto previdenziale, sia nella tutela e nella diffusione della cultura dei liberi professionisti italiani, è anch’esso un patrimonio che non si deve disperdere”.</w:t>
      </w:r>
    </w:p>
    <w:p w:rsidR="00464270" w:rsidRPr="002B1954" w:rsidRDefault="00464270" w:rsidP="002B1954">
      <w:pPr>
        <w:spacing w:after="0" w:line="28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:rsidR="006D17C5" w:rsidRPr="002B1954" w:rsidRDefault="006D17C5" w:rsidP="002B1954">
      <w:pPr>
        <w:spacing w:after="0" w:line="28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:rsidR="00944997" w:rsidRPr="002B1954" w:rsidRDefault="00AA1C93" w:rsidP="002B1954">
      <w:pPr>
        <w:spacing w:after="0" w:line="28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2B1954"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5B42B1" w:rsidRPr="002B1954">
        <w:rPr>
          <w:rFonts w:ascii="Times New Roman" w:hAnsi="Times New Roman"/>
          <w:sz w:val="23"/>
          <w:szCs w:val="23"/>
          <w:lang w:val="it-IT"/>
        </w:rPr>
        <w:t>2</w:t>
      </w:r>
      <w:r w:rsidR="003B6516" w:rsidRPr="002B1954">
        <w:rPr>
          <w:rFonts w:ascii="Times New Roman" w:hAnsi="Times New Roman"/>
          <w:sz w:val="23"/>
          <w:szCs w:val="23"/>
          <w:lang w:val="it-IT"/>
        </w:rPr>
        <w:t xml:space="preserve">9 </w:t>
      </w:r>
      <w:r w:rsidR="0023031E" w:rsidRPr="002B1954">
        <w:rPr>
          <w:rFonts w:ascii="Times New Roman" w:hAnsi="Times New Roman"/>
          <w:sz w:val="23"/>
          <w:szCs w:val="23"/>
          <w:lang w:val="it-IT"/>
        </w:rPr>
        <w:t>novembre</w:t>
      </w:r>
      <w:r w:rsidRPr="002B1954">
        <w:rPr>
          <w:rFonts w:ascii="Times New Roman" w:hAnsi="Times New Roman"/>
          <w:sz w:val="23"/>
          <w:szCs w:val="23"/>
          <w:lang w:val="it-IT"/>
        </w:rPr>
        <w:t xml:space="preserve"> 201</w:t>
      </w:r>
      <w:r w:rsidR="005B42B1" w:rsidRPr="002B1954">
        <w:rPr>
          <w:rFonts w:ascii="Times New Roman" w:hAnsi="Times New Roman"/>
          <w:sz w:val="23"/>
          <w:szCs w:val="23"/>
          <w:lang w:val="it-IT"/>
        </w:rPr>
        <w:t>9</w:t>
      </w:r>
    </w:p>
    <w:sectPr w:rsidR="00944997" w:rsidRPr="002B1954" w:rsidSect="00AA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1191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FB" w:rsidRDefault="003C14FB" w:rsidP="00311C79">
      <w:pPr>
        <w:spacing w:after="0" w:line="240" w:lineRule="auto"/>
      </w:pPr>
      <w:r>
        <w:separator/>
      </w:r>
    </w:p>
  </w:endnote>
  <w:endnote w:type="continuationSeparator" w:id="0">
    <w:p w:rsidR="003C14FB" w:rsidRDefault="003C14FB" w:rsidP="003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03" w:rsidRDefault="009354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EB" w:rsidRPr="00C7376D" w:rsidRDefault="00214FEB" w:rsidP="00EC0C46">
    <w:pPr>
      <w:pStyle w:val="Pidipagina"/>
      <w:spacing w:after="0" w:line="240" w:lineRule="auto"/>
      <w:rPr>
        <w:lang w:val="it-IT"/>
      </w:rPr>
    </w:pPr>
    <w:r w:rsidRPr="00C7376D">
      <w:rPr>
        <w:lang w:val="it-IT"/>
      </w:rPr>
      <w:t>Inarcassa - Ufficio Comunicazione e Relazioni Esterne</w:t>
    </w:r>
    <w:r w:rsidR="00EC0C46" w:rsidRPr="00C7376D">
      <w:rPr>
        <w:lang w:val="it-IT"/>
      </w:rPr>
      <w:t xml:space="preserve"> </w:t>
    </w:r>
    <w:r w:rsidR="00EC0C46" w:rsidRPr="00C7376D">
      <w:rPr>
        <w:lang w:val="it-IT"/>
      </w:rPr>
      <w:br/>
    </w:r>
    <w:r w:rsidRPr="00C7376D">
      <w:rPr>
        <w:lang w:val="it-IT"/>
      </w:rPr>
      <w:t xml:space="preserve">Responsabile: Silvia </w:t>
    </w:r>
    <w:proofErr w:type="spellStart"/>
    <w:r w:rsidRPr="00C7376D">
      <w:rPr>
        <w:lang w:val="it-IT"/>
      </w:rPr>
      <w:t>Pellicciari</w:t>
    </w:r>
    <w:proofErr w:type="spellEnd"/>
    <w:r w:rsidR="00EC0C46" w:rsidRPr="00C7376D">
      <w:rPr>
        <w:lang w:val="it-IT"/>
      </w:rPr>
      <w:t xml:space="preserve"> </w:t>
    </w:r>
    <w:r w:rsidRPr="00C7376D">
      <w:rPr>
        <w:lang w:val="it-IT"/>
      </w:rPr>
      <w:t xml:space="preserve"> </w:t>
    </w:r>
    <w:r w:rsidR="00EC0C46" w:rsidRPr="00C7376D">
      <w:rPr>
        <w:lang w:val="it-IT"/>
      </w:rPr>
      <w:t>- ufficiostampa@inarcassa.it</w:t>
    </w:r>
    <w:r w:rsidR="00EC0C46" w:rsidRPr="00C7376D">
      <w:rPr>
        <w:lang w:val="it-IT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03" w:rsidRDefault="009354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FB" w:rsidRDefault="003C14FB" w:rsidP="00311C79">
      <w:pPr>
        <w:spacing w:after="0" w:line="240" w:lineRule="auto"/>
      </w:pPr>
      <w:r>
        <w:separator/>
      </w:r>
    </w:p>
  </w:footnote>
  <w:footnote w:type="continuationSeparator" w:id="0">
    <w:p w:rsidR="003C14FB" w:rsidRDefault="003C14FB" w:rsidP="0031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03" w:rsidRDefault="009354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03" w:rsidRDefault="009354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03" w:rsidRDefault="009354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2108C"/>
    <w:rsid w:val="00024226"/>
    <w:rsid w:val="00024CDF"/>
    <w:rsid w:val="00043835"/>
    <w:rsid w:val="00054F73"/>
    <w:rsid w:val="00061512"/>
    <w:rsid w:val="00073DAB"/>
    <w:rsid w:val="00074192"/>
    <w:rsid w:val="000742C5"/>
    <w:rsid w:val="00094A5D"/>
    <w:rsid w:val="000E6D6A"/>
    <w:rsid w:val="00115D87"/>
    <w:rsid w:val="0011748E"/>
    <w:rsid w:val="00197F8F"/>
    <w:rsid w:val="001A23AA"/>
    <w:rsid w:val="001A4D8A"/>
    <w:rsid w:val="001A71F1"/>
    <w:rsid w:val="001F446C"/>
    <w:rsid w:val="0021300A"/>
    <w:rsid w:val="00214FEB"/>
    <w:rsid w:val="00223E61"/>
    <w:rsid w:val="0023031E"/>
    <w:rsid w:val="00240C0F"/>
    <w:rsid w:val="00240E4D"/>
    <w:rsid w:val="0025119E"/>
    <w:rsid w:val="00263C51"/>
    <w:rsid w:val="00277FEE"/>
    <w:rsid w:val="0029290B"/>
    <w:rsid w:val="002B1954"/>
    <w:rsid w:val="002B70CD"/>
    <w:rsid w:val="002C5E00"/>
    <w:rsid w:val="002D0913"/>
    <w:rsid w:val="002E0B6B"/>
    <w:rsid w:val="002E1BBE"/>
    <w:rsid w:val="00311C79"/>
    <w:rsid w:val="00315F1B"/>
    <w:rsid w:val="00331305"/>
    <w:rsid w:val="003314CD"/>
    <w:rsid w:val="00342ECE"/>
    <w:rsid w:val="00362B86"/>
    <w:rsid w:val="003656CA"/>
    <w:rsid w:val="003918AE"/>
    <w:rsid w:val="003A2491"/>
    <w:rsid w:val="003A388E"/>
    <w:rsid w:val="003B3DE9"/>
    <w:rsid w:val="003B6516"/>
    <w:rsid w:val="003C14FB"/>
    <w:rsid w:val="003D0640"/>
    <w:rsid w:val="003D1692"/>
    <w:rsid w:val="003D29A5"/>
    <w:rsid w:val="0043357B"/>
    <w:rsid w:val="00434243"/>
    <w:rsid w:val="004359A5"/>
    <w:rsid w:val="00452690"/>
    <w:rsid w:val="004608BF"/>
    <w:rsid w:val="00464270"/>
    <w:rsid w:val="00470335"/>
    <w:rsid w:val="004744A8"/>
    <w:rsid w:val="00474D20"/>
    <w:rsid w:val="004977FC"/>
    <w:rsid w:val="004D2F57"/>
    <w:rsid w:val="004D3B34"/>
    <w:rsid w:val="004E777B"/>
    <w:rsid w:val="00503639"/>
    <w:rsid w:val="005469EC"/>
    <w:rsid w:val="00583BB9"/>
    <w:rsid w:val="005A570A"/>
    <w:rsid w:val="005B2FC8"/>
    <w:rsid w:val="005B3C42"/>
    <w:rsid w:val="005B42B1"/>
    <w:rsid w:val="005D023B"/>
    <w:rsid w:val="005F6A2A"/>
    <w:rsid w:val="00657774"/>
    <w:rsid w:val="00657ACF"/>
    <w:rsid w:val="00661261"/>
    <w:rsid w:val="00671F38"/>
    <w:rsid w:val="006726C9"/>
    <w:rsid w:val="006A420F"/>
    <w:rsid w:val="006B1D33"/>
    <w:rsid w:val="006D17C5"/>
    <w:rsid w:val="00732177"/>
    <w:rsid w:val="00741CFB"/>
    <w:rsid w:val="007644E5"/>
    <w:rsid w:val="007871BB"/>
    <w:rsid w:val="007D3D8E"/>
    <w:rsid w:val="007D577E"/>
    <w:rsid w:val="0080619E"/>
    <w:rsid w:val="0081111A"/>
    <w:rsid w:val="00813CD9"/>
    <w:rsid w:val="0081738F"/>
    <w:rsid w:val="00834B76"/>
    <w:rsid w:val="00851140"/>
    <w:rsid w:val="0086681C"/>
    <w:rsid w:val="00875DD3"/>
    <w:rsid w:val="008A25C4"/>
    <w:rsid w:val="00906B88"/>
    <w:rsid w:val="00923979"/>
    <w:rsid w:val="00925D9B"/>
    <w:rsid w:val="00935403"/>
    <w:rsid w:val="00943527"/>
    <w:rsid w:val="00944997"/>
    <w:rsid w:val="009643BC"/>
    <w:rsid w:val="00964A7A"/>
    <w:rsid w:val="0098040F"/>
    <w:rsid w:val="00983D4E"/>
    <w:rsid w:val="009C318A"/>
    <w:rsid w:val="009C5B23"/>
    <w:rsid w:val="009C5EBE"/>
    <w:rsid w:val="009D7DD0"/>
    <w:rsid w:val="00A540EA"/>
    <w:rsid w:val="00A627F5"/>
    <w:rsid w:val="00A65787"/>
    <w:rsid w:val="00A76E87"/>
    <w:rsid w:val="00A84628"/>
    <w:rsid w:val="00A863AE"/>
    <w:rsid w:val="00A8677B"/>
    <w:rsid w:val="00A87781"/>
    <w:rsid w:val="00AA1C93"/>
    <w:rsid w:val="00AA6DE2"/>
    <w:rsid w:val="00AB79D4"/>
    <w:rsid w:val="00AC2A0B"/>
    <w:rsid w:val="00AD4594"/>
    <w:rsid w:val="00AE466A"/>
    <w:rsid w:val="00AE56E8"/>
    <w:rsid w:val="00AF55B8"/>
    <w:rsid w:val="00B056D6"/>
    <w:rsid w:val="00B14F81"/>
    <w:rsid w:val="00B51FA9"/>
    <w:rsid w:val="00B66573"/>
    <w:rsid w:val="00B74ED2"/>
    <w:rsid w:val="00B8307D"/>
    <w:rsid w:val="00BA5066"/>
    <w:rsid w:val="00BB2147"/>
    <w:rsid w:val="00BB3935"/>
    <w:rsid w:val="00BB5AF7"/>
    <w:rsid w:val="00BB604B"/>
    <w:rsid w:val="00BD4E6B"/>
    <w:rsid w:val="00BF7942"/>
    <w:rsid w:val="00C00CE7"/>
    <w:rsid w:val="00C00FB2"/>
    <w:rsid w:val="00C2488B"/>
    <w:rsid w:val="00C342F8"/>
    <w:rsid w:val="00C36FC8"/>
    <w:rsid w:val="00C7376D"/>
    <w:rsid w:val="00C758AC"/>
    <w:rsid w:val="00C763CF"/>
    <w:rsid w:val="00CE38D2"/>
    <w:rsid w:val="00CF2F53"/>
    <w:rsid w:val="00CF5655"/>
    <w:rsid w:val="00D41F33"/>
    <w:rsid w:val="00D4275D"/>
    <w:rsid w:val="00D7183B"/>
    <w:rsid w:val="00DA1696"/>
    <w:rsid w:val="00DC44CF"/>
    <w:rsid w:val="00DD604A"/>
    <w:rsid w:val="00DF3DF5"/>
    <w:rsid w:val="00DF4067"/>
    <w:rsid w:val="00E105AC"/>
    <w:rsid w:val="00E42EF5"/>
    <w:rsid w:val="00E77973"/>
    <w:rsid w:val="00E82FD3"/>
    <w:rsid w:val="00EB5023"/>
    <w:rsid w:val="00EC0C46"/>
    <w:rsid w:val="00EC5D08"/>
    <w:rsid w:val="00ED49D0"/>
    <w:rsid w:val="00EE2D3D"/>
    <w:rsid w:val="00EE3F73"/>
    <w:rsid w:val="00F00D1F"/>
    <w:rsid w:val="00F03331"/>
    <w:rsid w:val="00F24E99"/>
    <w:rsid w:val="00F34AB3"/>
    <w:rsid w:val="00F41016"/>
    <w:rsid w:val="00F4556E"/>
    <w:rsid w:val="00F66984"/>
    <w:rsid w:val="00F76F53"/>
    <w:rsid w:val="00F83E3C"/>
    <w:rsid w:val="00F847C2"/>
    <w:rsid w:val="00FA22C9"/>
    <w:rsid w:val="00FB57A0"/>
    <w:rsid w:val="00FC5C5F"/>
    <w:rsid w:val="00FD6916"/>
    <w:rsid w:val="00FE190C"/>
    <w:rsid w:val="00FE2F3A"/>
    <w:rsid w:val="00FE61C7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043835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CE745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E745C"/>
    <w:rPr>
      <w:sz w:val="22"/>
      <w:szCs w:val="22"/>
    </w:rPr>
  </w:style>
  <w:style w:type="character" w:customStyle="1" w:styleId="Titolo2Carattere">
    <w:name w:val="Titolo 2 Carattere"/>
    <w:link w:val="Titolo2"/>
    <w:rsid w:val="00043835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customStyle="1" w:styleId="a">
    <w:basedOn w:val="Normale"/>
    <w:next w:val="Corpotesto"/>
    <w:rsid w:val="000438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4383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43835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4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semiHidden/>
    <w:rsid w:val="009804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F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2019-11-29T11:44:00Z</dcterms:created>
  <dcterms:modified xsi:type="dcterms:W3CDTF">2019-11-29T12:40:00Z</dcterms:modified>
</cp:coreProperties>
</file>